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440001-2025-24672</w:t>
      </w:r>
    </w:p>
    <w:p>
      <w:pPr>
        <w:pStyle w:val="null3"/>
        <w:jc w:val="center"/>
        <w:outlineLvl w:val="3"/>
      </w:pPr>
      <w:r>
        <w:rPr>
          <w:sz w:val="24"/>
          <w:b/>
        </w:rPr>
        <w:t>采购项目编号：</w:t>
      </w:r>
      <w:r>
        <w:rPr>
          <w:sz w:val="24"/>
          <w:b/>
        </w:rPr>
        <w:t>GDJY250619004FG024</w:t>
      </w:r>
    </w:p>
    <w:p>
      <w:pPr>
        <w:pStyle w:val="null3"/>
        <w:jc w:val="center"/>
        <w:outlineLvl w:val="3"/>
      </w:pPr>
      <w:r>
        <w:rPr>
          <w:sz w:val="24"/>
          <w:b/>
        </w:rPr>
        <w:t>项目名称：</w:t>
      </w:r>
      <w:r>
        <w:rPr>
          <w:sz w:val="24"/>
          <w:b/>
        </w:rPr>
        <w:t>华南农业大学2025年WOS等数据库采购服务项目</w:t>
      </w:r>
    </w:p>
    <w:p>
      <w:pPr>
        <w:pStyle w:val="null3"/>
        <w:jc w:val="center"/>
        <w:outlineLvl w:val="3"/>
      </w:pPr>
      <w:r>
        <w:rPr>
          <w:sz w:val="24"/>
          <w:b/>
        </w:rPr>
        <w:t>采购人：</w:t>
      </w:r>
      <w:r>
        <w:rPr>
          <w:sz w:val="24"/>
          <w:b/>
        </w:rPr>
        <w:t>华南农业大学</w:t>
      </w:r>
    </w:p>
    <w:p>
      <w:pPr>
        <w:pStyle w:val="null3"/>
        <w:jc w:val="center"/>
        <w:outlineLvl w:val="3"/>
      </w:pPr>
      <w:r>
        <w:rPr>
          <w:sz w:val="24"/>
          <w:b/>
        </w:rPr>
        <w:t>采购代理机构：</w:t>
      </w:r>
      <w:r>
        <w:rPr>
          <w:sz w:val="24"/>
          <w:b/>
        </w:rPr>
        <w:t>广东金扬教育采购中心有限公司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广东金扬教育采购中心有限公司</w:t>
      </w:r>
      <w:r>
        <w:rPr/>
        <w:t>受</w:t>
      </w:r>
      <w:r>
        <w:rPr/>
        <w:t>华南农业大学</w:t>
      </w:r>
      <w:r>
        <w:rPr/>
        <w:t>的委托，采用</w:t>
      </w:r>
      <w:r>
        <w:rPr/>
        <w:t>公开招标</w:t>
      </w:r>
      <w:r>
        <w:rPr/>
        <w:t>方式组织采购</w:t>
      </w:r>
      <w:r>
        <w:rPr/>
        <w:t>华南农业大学2025年WOS等数据库采购服务项目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华南农业大学2025年WOS等数据库采购服务项目</w:t>
      </w:r>
    </w:p>
    <w:p>
      <w:pPr>
        <w:pStyle w:val="null3"/>
        <w:ind w:firstLine="480"/>
      </w:pPr>
      <w:r>
        <w:rPr/>
        <w:t>采购计划编号：</w:t>
      </w:r>
      <w:r>
        <w:rPr/>
        <w:t>440001-2025-24672</w:t>
      </w:r>
    </w:p>
    <w:p>
      <w:pPr>
        <w:pStyle w:val="null3"/>
        <w:ind w:firstLine="480"/>
      </w:pPr>
      <w:r>
        <w:rPr/>
        <w:t>采购项目编号：</w:t>
      </w:r>
      <w:r>
        <w:rPr/>
        <w:t>GDJY250619004FG024</w:t>
      </w:r>
    </w:p>
    <w:p>
      <w:pPr>
        <w:pStyle w:val="null3"/>
        <w:ind w:firstLine="480"/>
      </w:pPr>
      <w:r>
        <w:rPr/>
        <w:t>采购方式：</w:t>
      </w:r>
      <w:r>
        <w:rPr/>
        <w:t>公开招标</w:t>
      </w:r>
    </w:p>
    <w:p>
      <w:pPr>
        <w:pStyle w:val="null3"/>
        <w:ind w:firstLine="480"/>
      </w:pPr>
      <w:r>
        <w:rPr/>
        <w:t>预算金额：</w:t>
      </w:r>
      <w:r>
        <w:rPr/>
        <w:t>12,272,076.00</w:t>
      </w:r>
      <w:r>
        <w:rPr/>
        <w:t>元</w:t>
      </w:r>
    </w:p>
    <w:p>
      <w:pPr>
        <w:pStyle w:val="null3"/>
        <w:outlineLvl w:val="3"/>
      </w:pPr>
      <w:r>
        <w:rPr>
          <w:sz w:val="24"/>
          <w:b/>
        </w:rPr>
        <w:t>2.项目内容及需求情况（采购项目技术规格、参数及要求）</w:t>
      </w:r>
    </w:p>
    <w:p>
      <w:pPr>
        <w:pStyle w:val="null3"/>
      </w:pPr>
      <w:r>
        <w:rPr/>
        <w:t>采购包1(2025年WOS等数据库采购服务):</w:t>
      </w:r>
    </w:p>
    <w:p>
      <w:pPr>
        <w:pStyle w:val="null3"/>
      </w:pPr>
      <w:r>
        <w:rPr/>
        <w:t>采购包预算金额：5,553,131.00元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数据加工处理服务</w:t>
            </w:r>
          </w:p>
        </w:tc>
        <w:tc>
          <w:tcPr>
            <w:tcW w:type="dxa" w:w="2136"/>
          </w:tcPr>
          <w:p>
            <w:pPr>
              <w:pStyle w:val="null3"/>
            </w:pPr>
            <w:r>
              <w:rPr/>
              <w:t>2025年WOS等数据库采购服务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合同履行期限：数据库交付、验收之日起至合同全部权利义务履行完毕之日止。</w:t>
      </w:r>
    </w:p>
    <w:p>
      <w:pPr>
        <w:pStyle w:val="null3"/>
      </w:pPr>
      <w:r>
        <w:rPr/>
        <w:t>采购包2(2025年Elsevier ScienceDirect等数据库采购服务):</w:t>
      </w:r>
    </w:p>
    <w:p>
      <w:pPr>
        <w:pStyle w:val="null3"/>
      </w:pPr>
      <w:r>
        <w:rPr/>
        <w:t>采购包预算金额：6,718,945.00元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数据加工处理服务</w:t>
            </w:r>
          </w:p>
        </w:tc>
        <w:tc>
          <w:tcPr>
            <w:tcW w:type="dxa" w:w="2136"/>
          </w:tcPr>
          <w:p>
            <w:pPr>
              <w:pStyle w:val="null3"/>
            </w:pPr>
            <w:r>
              <w:rPr/>
              <w:t>2025年Elsevier ScienceDirect等数据库采购服务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合同履行期限：数据库交付、验收之日起至合同全部权利义务履行完毕之日止。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交法人或者其他组织的营业执照等证明文件、自然人的身份证明复印件（分支机构投标的，须同时提供总公司和分支机构的上述证明文件及总公司出具给分支机构的授权书）。</w:t>
      </w:r>
    </w:p>
    <w:p>
      <w:pPr>
        <w:pStyle w:val="null3"/>
      </w:pPr>
      <w:r>
        <w:rPr/>
        <w:t>2）有依法缴纳税收和社会保障资金的良好记录：提供投标截止日前六个月内任意一个月在中国境内依法缴纳税收和社会保障资金的相关材料，如依法免税和依法不需要缴纳社会保障资金的，应提供相应证明文件。</w:t>
      </w:r>
    </w:p>
    <w:p>
      <w:pPr>
        <w:pStyle w:val="null3"/>
      </w:pPr>
      <w:r>
        <w:rPr/>
        <w:t>3）具有良好的商业信誉和健全的财务会计制度：提供2024年的财务状况报告复印件或基本开户银行2025年出具的资信证明。</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提供盖章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采购包1（2025年WOS等数据库采购服务）：</w:t>
      </w:r>
      <w:r>
        <w:rPr/>
        <w:t>无，本采购包不属于专门面向中小企业采购的项目。</w:t>
      </w:r>
    </w:p>
    <w:p>
      <w:pPr>
        <w:pStyle w:val="null3"/>
        <w:jc w:val="left"/>
      </w:pPr>
      <w:r>
        <w:rPr/>
        <w:t>采购包2（2025年Elsevier ScienceDirect等数据库采购服务）：</w:t>
      </w:r>
      <w:r>
        <w:rPr/>
        <w:t>无，本采购包不属于专门面向中小企业采购的项目。</w:t>
      </w:r>
    </w:p>
    <w:p>
      <w:pPr>
        <w:pStyle w:val="null3"/>
        <w:outlineLvl w:val="3"/>
      </w:pPr>
      <w:r>
        <w:rPr>
          <w:sz w:val="24"/>
          <w:b/>
        </w:rPr>
        <w:t>3.本项目特定的资格要求：</w:t>
      </w:r>
    </w:p>
    <w:p>
      <w:pPr>
        <w:pStyle w:val="null3"/>
      </w:pPr>
      <w:r>
        <w:rPr/>
        <w:t>采购包1（2025年WOS等数据库采购服务）：</w:t>
      </w:r>
    </w:p>
    <w:p>
      <w:pPr>
        <w:pStyle w:val="null3"/>
      </w:pPr>
      <w:r>
        <w:rPr/>
        <w:t>1)信用记录：未被列入“信用中国”网站“失信被执行人、重大税收违法失信主体、政府采购严重违法失信行为记录名单”中；不处于中国政府采购网“政府采购严重违法失信行为信息记录”中的禁止参加政府采购活动期间（以采购代理机构于投标截止日当天资格审查前在上述网站查询结果为准，如相关记录已失效，供应商需提供相关证明资料；未查询到的视为未被列入上述名单）。</w:t>
      </w:r>
    </w:p>
    <w:p>
      <w:pPr>
        <w:pStyle w:val="null3"/>
      </w:pPr>
      <w:r>
        <w:rPr/>
        <w:t>2)投标人必须符合法律、行政法规规定的其他条件：提供盖章声明函（包括但不限于单位负责人为同一人或者存在直接控股、管理关系的不同投标人，不得同时参加本采购项目（包组）投标。前期为本项目提供整体设计、规范编制或者项目管理、监理、检测等服务的投标人，不得再参与本项目投标）。</w:t>
      </w:r>
    </w:p>
    <w:p>
      <w:pPr>
        <w:pStyle w:val="null3"/>
      </w:pPr>
      <w:r>
        <w:rPr/>
        <w:t>3)投标人具备《中华人民共和国出版物经营许可证》及《中华人民共和国出版物进口经营许可证》（投标时提供有效证书扫描件，如国家另有规定，则适用其规定）。</w:t>
      </w:r>
    </w:p>
    <w:p>
      <w:pPr>
        <w:pStyle w:val="null3"/>
      </w:pPr>
      <w:r>
        <w:rPr/>
        <w:t>采购包2（2025年Elsevier ScienceDirect等数据库采购服务）：</w:t>
      </w:r>
    </w:p>
    <w:p>
      <w:pPr>
        <w:pStyle w:val="null3"/>
      </w:pPr>
      <w:r>
        <w:rPr/>
        <w:t>1)信用记录：未被列入“信用中国”网站“失信被执行人、重大税收违法失信主体、政府采购严重违法失信行为记录名单”中；不处于中国政府采购网“政府采购严重违法失信行为信息记录”中的禁止参加政府采购活动期间（以采购代理机构于投标截止日当天资格审查前在上述网站查询结果为准，如相关记录已失效，供应商需提供相关证明资料；未查询到的视为未被列入上述名单）。</w:t>
      </w:r>
    </w:p>
    <w:p>
      <w:pPr>
        <w:pStyle w:val="null3"/>
      </w:pPr>
      <w:r>
        <w:rPr/>
        <w:t>2)投标人必须符合法律、行政法规规定的其他条件：提供盖章声明函（包括但不限于单位负责人为同一人或者存在直接控股、管理关系的不同投标人，不得同时参加本采购项目（包组）投标。前期为本项目提供整体设计、规范编制或者项目管理、监理、检测等服务的投标人，不得再参与本项目投标）。</w:t>
      </w:r>
    </w:p>
    <w:p>
      <w:pPr>
        <w:pStyle w:val="null3"/>
      </w:pPr>
      <w:r>
        <w:rPr/>
        <w:t>3)投标人具备《中华人民共和国出版物经营许可证》及《中华人民共和国出版物进口经营许可证》（投标时提供有效证书扫描件，如国家另有规定，则适用其规定）。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广东金扬教育采购中心有限公司（http://www.gdjycg.com）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华南农业大学</w:t>
      </w:r>
    </w:p>
    <w:p>
      <w:pPr>
        <w:pStyle w:val="null3"/>
        <w:ind w:firstLine="480"/>
      </w:pPr>
      <w:r>
        <w:rPr/>
        <w:t xml:space="preserve"> 地址：</w:t>
      </w:r>
      <w:r>
        <w:rPr/>
        <w:t>广州市天河区五山路483号</w:t>
      </w:r>
    </w:p>
    <w:p>
      <w:pPr>
        <w:pStyle w:val="null3"/>
        <w:ind w:firstLine="480"/>
      </w:pPr>
      <w:r>
        <w:rPr/>
        <w:t xml:space="preserve"> 联系方式：</w:t>
      </w:r>
      <w:r>
        <w:rPr/>
        <w:t>020-85280081</w:t>
      </w:r>
    </w:p>
    <w:p>
      <w:pPr>
        <w:pStyle w:val="null3"/>
        <w:outlineLvl w:val="3"/>
      </w:pPr>
      <w:r>
        <w:rPr>
          <w:sz w:val="24"/>
          <w:b/>
        </w:rPr>
        <w:t xml:space="preserve"> 2.采购代理机构信息</w:t>
      </w:r>
    </w:p>
    <w:p>
      <w:pPr>
        <w:pStyle w:val="null3"/>
        <w:ind w:firstLine="480"/>
      </w:pPr>
      <w:r>
        <w:rPr/>
        <w:t xml:space="preserve"> 名称：</w:t>
      </w:r>
      <w:r>
        <w:rPr/>
        <w:t>广东金扬教育采购中心有限公司</w:t>
      </w:r>
    </w:p>
    <w:p>
      <w:pPr>
        <w:pStyle w:val="null3"/>
        <w:ind w:firstLine="480"/>
      </w:pPr>
      <w:r>
        <w:rPr/>
        <w:t xml:space="preserve"> 地址：</w:t>
      </w:r>
      <w:r>
        <w:rPr/>
        <w:t>广东省广州市越秀区环市东路461号7号楼5楼</w:t>
      </w:r>
    </w:p>
    <w:p>
      <w:pPr>
        <w:pStyle w:val="null3"/>
        <w:ind w:firstLine="480"/>
      </w:pPr>
      <w:r>
        <w:rPr/>
        <w:t xml:space="preserve"> 联系方式：</w:t>
      </w:r>
      <w:r>
        <w:rPr/>
        <w:t>020-37619972</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020-37619972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广东金扬教育采购中心有限公司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（一）项目说明</w:t>
      </w:r>
    </w:p>
    <w:p>
      <w:pPr>
        <w:pStyle w:val="null3"/>
        <w:jc w:val="both"/>
      </w:pPr>
      <w:r>
        <w:rPr>
          <w:sz w:val="21"/>
          <w:b/>
          <w:shd w:fill="FFFFFF" w:val="clear"/>
        </w:rPr>
        <w:t>1.投标人应对包组内所有的招标内容进行投标，不允许只对包组内部分内容进行投标，否则按无效投标处理。</w:t>
      </w:r>
    </w:p>
    <w:p>
      <w:pPr>
        <w:pStyle w:val="null3"/>
        <w:jc w:val="left"/>
      </w:pPr>
      <w:r>
        <w:rPr>
          <w:sz w:val="21"/>
          <w:b/>
          <w:shd w:fill="FFFFFF" w:val="clear"/>
        </w:rPr>
        <w:t>2.本项目属于服务采购。</w:t>
      </w:r>
    </w:p>
    <w:p>
      <w:pPr>
        <w:pStyle w:val="null3"/>
        <w:jc w:val="both"/>
      </w:pPr>
      <w:r>
        <w:rPr>
          <w:sz w:val="21"/>
          <w:shd w:fill="FFFFFF" w:val="clear"/>
        </w:rPr>
        <w:t>3.符合条件的投标人在中标后需要融资时可以申请政府采购合同融资。详情请见《广东省财政厅 广东省地方金融监督管理局 中国人民银行广州分行 关于开展省级政府采购合同融资工作的通知》（粤财采购〔2020〕6号）。</w:t>
      </w:r>
    </w:p>
    <w:p>
      <w:pPr>
        <w:pStyle w:val="null3"/>
        <w:jc w:val="both"/>
      </w:pPr>
      <w:r>
        <w:rPr>
          <w:sz w:val="21"/>
          <w:b/>
          <w:shd w:fill="FFFFFF" w:val="clear"/>
        </w:rPr>
        <w:t>4.本招标文件《采购项目内容》中重要符号定义：</w:t>
      </w:r>
    </w:p>
    <w:p>
      <w:pPr>
        <w:pStyle w:val="null3"/>
        <w:jc w:val="both"/>
      </w:pPr>
      <w:r>
        <w:rPr>
          <w:sz w:val="21"/>
          <w:b/>
          <w:shd w:fill="FFFFFF" w:val="clear"/>
        </w:rPr>
        <w:t>（</w:t>
      </w:r>
      <w:r>
        <w:rPr>
          <w:sz w:val="21"/>
          <w:b/>
          <w:shd w:fill="FFFFFF" w:val="clear"/>
        </w:rPr>
        <w:t>1）“★”号条款：废标条款，必须对其完全响应，若有一项“★”号条款未响应的，将按无效投标处理。</w:t>
      </w:r>
    </w:p>
    <w:p>
      <w:pPr>
        <w:pStyle w:val="null3"/>
        <w:jc w:val="both"/>
      </w:pPr>
      <w:r>
        <w:rPr>
          <w:sz w:val="21"/>
          <w:b/>
          <w:shd w:fill="FFFFFF" w:val="clear"/>
        </w:rPr>
        <w:t>（</w:t>
      </w:r>
      <w:r>
        <w:rPr>
          <w:sz w:val="21"/>
          <w:b/>
          <w:shd w:fill="FFFFFF" w:val="clear"/>
        </w:rPr>
        <w:t>2）“▲”号条款：重要条款，负偏离将导致严重扣分。</w:t>
      </w:r>
    </w:p>
    <w:p>
      <w:pPr>
        <w:pStyle w:val="null3"/>
        <w:jc w:val="both"/>
      </w:pPr>
      <w:r>
        <w:rPr>
          <w:sz w:val="21"/>
          <w:b/>
          <w:shd w:fill="FFFFFF" w:val="clear"/>
        </w:rPr>
        <w:t>5.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w:t>
      </w:r>
    </w:p>
    <w:p>
      <w:pPr>
        <w:pStyle w:val="null3"/>
        <w:spacing w:before="240" w:after="120"/>
        <w:jc w:val="both"/>
      </w:pPr>
      <w:r>
        <w:rPr>
          <w:sz w:val="24"/>
          <w:b/>
          <w:shd w:fill="FFFFFF" w:val="clear"/>
        </w:rPr>
        <w:t>（二）采购清单</w:t>
      </w:r>
    </w:p>
    <w:p>
      <w:pPr>
        <w:pStyle w:val="null3"/>
        <w:spacing w:before="240" w:after="120"/>
        <w:jc w:val="both"/>
      </w:pPr>
      <w:r>
        <w:rPr>
          <w:sz w:val="24"/>
          <w:b/>
          <w:shd w:fill="FFFFFF" w:val="clear"/>
        </w:rPr>
        <w:t>采购包</w:t>
      </w:r>
      <w:r>
        <w:rPr>
          <w:sz w:val="24"/>
          <w:b/>
          <w:shd w:fill="FFFFFF" w:val="clear"/>
        </w:rPr>
        <w:t>1(2025年WOS等数据库采购服务):</w:t>
      </w:r>
    </w:p>
    <w:tbl>
      <w:tblPr>
        <w:tblW w:w="0" w:type="auto"/>
        <w:tblBorders>
          <w:top w:val="none" w:color="000000" w:sz="4"/>
          <w:left w:val="none" w:color="000000" w:sz="4"/>
          <w:bottom w:val="none" w:color="000000" w:sz="4"/>
          <w:right w:val="none" w:color="000000" w:sz="4"/>
          <w:insideH w:val="none"/>
          <w:insideV w:val="none"/>
        </w:tblBorders>
      </w:tblPr>
      <w:tblGrid>
        <w:gridCol w:w="789"/>
        <w:gridCol w:w="2056"/>
        <w:gridCol w:w="1965"/>
        <w:gridCol w:w="1372"/>
        <w:gridCol w:w="2119"/>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02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1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预算（元）</w:t>
            </w: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WOS数据库</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SCI</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1,078,354.00</w:t>
            </w:r>
          </w:p>
        </w:tc>
      </w:tr>
      <w:tr>
        <w:tc>
          <w:tcPr>
            <w:tcW w:type="dxa" w:w="789"/>
            <w:vMerge/>
            <w:tcBorders>
              <w:top w:val="none" w:color="000000" w:sz="4"/>
              <w:left w:val="single" w:color="000000" w:sz="4"/>
              <w:bottom w:val="single" w:color="000000" w:sz="4"/>
              <w:right w:val="single" w:color="000000" w:sz="4"/>
            </w:tcBorders>
          </w:tcPr>
          <w:p/>
        </w:tc>
        <w:tc>
          <w:tcPr>
            <w:tcW w:type="dxa" w:w="2056"/>
            <w:vMerge/>
            <w:tcBorders>
              <w:top w:val="none" w:color="000000" w:sz="4"/>
              <w:left w:val="single" w:color="000000" w:sz="4"/>
              <w:bottom w:val="single" w:color="000000" w:sz="4"/>
              <w:right w:val="single" w:color="000000" w:sz="4"/>
            </w:tcBorders>
          </w:tcP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SSCI</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276,116.00</w:t>
            </w:r>
          </w:p>
        </w:tc>
      </w:tr>
      <w:tr>
        <w:tc>
          <w:tcPr>
            <w:tcW w:type="dxa" w:w="789"/>
            <w:vMerge/>
            <w:tcBorders>
              <w:top w:val="none" w:color="000000" w:sz="4"/>
              <w:left w:val="single" w:color="000000" w:sz="4"/>
              <w:bottom w:val="single" w:color="000000" w:sz="4"/>
              <w:right w:val="single" w:color="000000" w:sz="4"/>
            </w:tcBorders>
          </w:tcPr>
          <w:p/>
        </w:tc>
        <w:tc>
          <w:tcPr>
            <w:tcW w:type="dxa" w:w="2056"/>
            <w:vMerge/>
            <w:tcBorders>
              <w:top w:val="none" w:color="000000" w:sz="4"/>
              <w:left w:val="single" w:color="000000" w:sz="4"/>
              <w:bottom w:val="single" w:color="000000" w:sz="4"/>
              <w:right w:val="single" w:color="000000" w:sz="4"/>
            </w:tcBorders>
          </w:tcP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JCR</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111,290.00</w:t>
            </w:r>
          </w:p>
        </w:tc>
      </w:tr>
      <w:tr>
        <w:tc>
          <w:tcPr>
            <w:tcW w:type="dxa" w:w="789"/>
            <w:vMerge/>
            <w:tcBorders>
              <w:top w:val="none" w:color="000000" w:sz="4"/>
              <w:left w:val="single" w:color="000000" w:sz="4"/>
              <w:bottom w:val="single" w:color="000000" w:sz="4"/>
              <w:right w:val="single" w:color="000000" w:sz="4"/>
            </w:tcBorders>
          </w:tcPr>
          <w:p/>
        </w:tc>
        <w:tc>
          <w:tcPr>
            <w:tcW w:type="dxa" w:w="2056"/>
            <w:vMerge/>
            <w:tcBorders>
              <w:top w:val="none" w:color="000000" w:sz="4"/>
              <w:left w:val="single" w:color="000000" w:sz="4"/>
              <w:bottom w:val="single" w:color="000000" w:sz="4"/>
              <w:right w:val="single" w:color="000000" w:sz="4"/>
            </w:tcBorders>
          </w:tcP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ESI</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168,838.00</w:t>
            </w:r>
          </w:p>
        </w:tc>
      </w:tr>
      <w:tr>
        <w:tc>
          <w:tcPr>
            <w:tcW w:type="dxa" w:w="789"/>
            <w:vMerge/>
            <w:tcBorders>
              <w:top w:val="none" w:color="000000" w:sz="4"/>
              <w:left w:val="single" w:color="000000" w:sz="4"/>
              <w:bottom w:val="single" w:color="000000" w:sz="4"/>
              <w:right w:val="single" w:color="000000" w:sz="4"/>
            </w:tcBorders>
          </w:tcPr>
          <w:p/>
        </w:tc>
        <w:tc>
          <w:tcPr>
            <w:tcW w:type="dxa" w:w="2056"/>
            <w:vMerge/>
            <w:tcBorders>
              <w:top w:val="none" w:color="000000" w:sz="4"/>
              <w:left w:val="single" w:color="000000" w:sz="4"/>
              <w:bottom w:val="single" w:color="000000" w:sz="4"/>
              <w:right w:val="single" w:color="000000" w:sz="4"/>
            </w:tcBorders>
          </w:tcP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InCites</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287,549.00</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0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Springer电子图书全文库</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628,496.00</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0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Springer电子期刊全文库</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970,288.00</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0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ACS</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760,915.00</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0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Wiley期刊全文库</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1,064,051.00</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0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ProQuest农业、生物全文数据库</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207,234.00</w:t>
            </w:r>
          </w:p>
        </w:tc>
      </w:tr>
      <w:tr>
        <w:tc>
          <w:tcPr>
            <w:tcW w:type="dxa" w:w="61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5553131.00元</w:t>
            </w:r>
          </w:p>
        </w:tc>
      </w:tr>
    </w:tbl>
    <w:p>
      <w:pPr>
        <w:pStyle w:val="null3"/>
        <w:spacing w:before="240" w:after="120"/>
        <w:jc w:val="both"/>
      </w:pPr>
      <w:r>
        <w:rPr>
          <w:sz w:val="24"/>
          <w:b/>
          <w:shd w:fill="FFFFFF" w:val="clear"/>
        </w:rPr>
        <w:t>采购包</w:t>
      </w:r>
      <w:r>
        <w:rPr>
          <w:sz w:val="24"/>
          <w:b/>
          <w:shd w:fill="FFFFFF" w:val="clear"/>
        </w:rPr>
        <w:t>2(2025年Elsevier ScienceDirect等数据库采购服务)：</w:t>
      </w:r>
    </w:p>
    <w:tbl>
      <w:tblPr>
        <w:tblW w:w="0" w:type="auto"/>
        <w:tblBorders>
          <w:top w:val="none" w:color="000000" w:sz="4"/>
          <w:left w:val="none" w:color="000000" w:sz="4"/>
          <w:bottom w:val="none" w:color="000000" w:sz="4"/>
          <w:right w:val="none" w:color="000000" w:sz="4"/>
          <w:insideH w:val="none"/>
          <w:insideV w:val="none"/>
        </w:tblBorders>
      </w:tblPr>
      <w:tblGrid>
        <w:gridCol w:w="786"/>
        <w:gridCol w:w="4016"/>
        <w:gridCol w:w="1379"/>
        <w:gridCol w:w="2121"/>
      </w:tblGrid>
      <w:tr>
        <w:tc>
          <w:tcPr>
            <w:tcW w:type="dxa" w:w="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1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预算（元）</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Elsevier ScienceDirect</w:t>
            </w:r>
            <w:r>
              <w:rPr>
                <w:sz w:val="21"/>
              </w:rPr>
              <w:t>数据库</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4,840,582.00</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Cell Press数据库</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240,805.00</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Science Online</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97,240.00</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SciFinder Academic</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583,405.00</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牛津期刊现刊数据库</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366,854.00</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Nature数据库</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334,870.00</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ProQuest学位论文全文数据库</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255,189.00</w:t>
            </w:r>
          </w:p>
        </w:tc>
      </w:tr>
      <w:tr>
        <w:tc>
          <w:tcPr>
            <w:tcW w:type="dxa" w:w="618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2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6718945.00元</w:t>
            </w:r>
          </w:p>
        </w:tc>
      </w:tr>
    </w:tbl>
    <w:p>
      <w:pPr>
        <w:pStyle w:val="null3"/>
        <w:spacing w:before="240" w:after="120"/>
        <w:jc w:val="both"/>
      </w:pPr>
      <w:r>
        <w:rPr>
          <w:sz w:val="24"/>
          <w:b/>
          <w:shd w:fill="FFFFFF" w:val="clear"/>
        </w:rPr>
        <w:t>（三）投标分项报价表</w:t>
      </w:r>
    </w:p>
    <w:p>
      <w:pPr>
        <w:pStyle w:val="null3"/>
        <w:jc w:val="both"/>
      </w:pPr>
      <w:r>
        <w:rPr>
          <w:sz w:val="21"/>
          <w:b/>
          <w:shd w:fill="FFFFFF" w:val="clear"/>
        </w:rPr>
        <w:t>★投标时投标人需同步填写下表《投标分项报价表》，并填写所投采购包中各数据库的单价、总价等。《投标分项报价表》需同步放入电子投标文件中并上传至广东省政府采购智慧云平台中，否则将导致投标无效。</w:t>
      </w:r>
    </w:p>
    <w:p>
      <w:pPr>
        <w:pStyle w:val="null3"/>
        <w:jc w:val="center"/>
      </w:pPr>
      <w:r>
        <w:rPr>
          <w:sz w:val="24"/>
          <w:b/>
        </w:rPr>
        <w:t>投标分项报价表</w:t>
      </w:r>
    </w:p>
    <w:p>
      <w:pPr>
        <w:pStyle w:val="null3"/>
        <w:jc w:val="both"/>
      </w:pPr>
      <w:r>
        <w:rPr>
          <w:sz w:val="21"/>
        </w:rPr>
        <w:t>项目名称：华南农业大学</w:t>
      </w:r>
      <w:r>
        <w:rPr>
          <w:sz w:val="21"/>
        </w:rPr>
        <w:t>2025年WOS等数据库采购服务项目</w:t>
      </w:r>
    </w:p>
    <w:p>
      <w:pPr>
        <w:pStyle w:val="null3"/>
        <w:jc w:val="both"/>
      </w:pPr>
      <w:r>
        <w:rPr>
          <w:sz w:val="21"/>
        </w:rPr>
        <w:t>采购包</w:t>
      </w:r>
      <w:r>
        <w:rPr>
          <w:sz w:val="21"/>
        </w:rPr>
        <w:t>1：2025年WOS等数据库采购服务</w:t>
      </w:r>
    </w:p>
    <w:tbl>
      <w:tblPr>
        <w:tblW w:w="0" w:type="auto"/>
        <w:tblBorders>
          <w:top w:val="none" w:color="000000" w:sz="4"/>
          <w:left w:val="none" w:color="000000" w:sz="4"/>
          <w:bottom w:val="none" w:color="000000" w:sz="4"/>
          <w:right w:val="none" w:color="000000" w:sz="4"/>
          <w:insideH w:val="none"/>
          <w:insideV w:val="none"/>
        </w:tblBorders>
      </w:tblPr>
      <w:tblGrid>
        <w:gridCol w:w="518"/>
        <w:gridCol w:w="1360"/>
        <w:gridCol w:w="1304"/>
        <w:gridCol w:w="913"/>
        <w:gridCol w:w="1403"/>
        <w:gridCol w:w="1401"/>
        <w:gridCol w:w="1401"/>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66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1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c>
          <w:tcPr>
            <w:tcW w:type="dxa" w:w="1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WOS数据库</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SCI</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1360"/>
            <w:vMerge/>
            <w:tcBorders>
              <w:top w:val="none" w:color="000000" w:sz="4"/>
              <w:left w:val="single" w:color="000000" w:sz="4"/>
              <w:bottom w:val="single" w:color="000000" w:sz="4"/>
              <w:right w:val="single" w:color="000000" w:sz="4"/>
            </w:tcBorders>
          </w:tcP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SSCI</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1360"/>
            <w:vMerge/>
            <w:tcBorders>
              <w:top w:val="none" w:color="000000" w:sz="4"/>
              <w:left w:val="single" w:color="000000" w:sz="4"/>
              <w:bottom w:val="single" w:color="000000" w:sz="4"/>
              <w:right w:val="single" w:color="000000" w:sz="4"/>
            </w:tcBorders>
          </w:tcP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JCR</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1360"/>
            <w:vMerge/>
            <w:tcBorders>
              <w:top w:val="none" w:color="000000" w:sz="4"/>
              <w:left w:val="single" w:color="000000" w:sz="4"/>
              <w:bottom w:val="single" w:color="000000" w:sz="4"/>
              <w:right w:val="single" w:color="000000" w:sz="4"/>
            </w:tcBorders>
          </w:tcP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ESI</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1360"/>
            <w:vMerge/>
            <w:tcBorders>
              <w:top w:val="none" w:color="000000" w:sz="4"/>
              <w:left w:val="single" w:color="000000" w:sz="4"/>
              <w:bottom w:val="single" w:color="000000" w:sz="4"/>
              <w:right w:val="single" w:color="000000" w:sz="4"/>
            </w:tcBorders>
          </w:tcP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InCites</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Springer电子图书全文库</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Springer电子期刊全文库</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ACS</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Wiley期刊全文库</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6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ProQuest农业、生物全文数据库</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0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c>
          <w:tcPr>
            <w:tcW w:type="dxa" w:w="42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小写：</w:t>
            </w:r>
            <w:r>
              <w:rPr>
                <w:sz w:val="21"/>
                <w:b/>
              </w:rPr>
              <w:t xml:space="preserve">¥           </w:t>
            </w:r>
          </w:p>
          <w:p>
            <w:pPr>
              <w:pStyle w:val="null3"/>
              <w:jc w:val="left"/>
            </w:pPr>
            <w:r>
              <w:rPr>
                <w:sz w:val="21"/>
                <w:b/>
              </w:rPr>
              <w:t>大写：</w:t>
            </w:r>
          </w:p>
        </w:tc>
      </w:tr>
    </w:tbl>
    <w:p>
      <w:pPr>
        <w:pStyle w:val="null3"/>
        <w:jc w:val="both"/>
      </w:pPr>
      <w:r>
        <w:rPr>
          <w:sz w:val="21"/>
          <w:b/>
        </w:rPr>
        <w:t>备注：</w:t>
      </w:r>
    </w:p>
    <w:p>
      <w:pPr>
        <w:pStyle w:val="null3"/>
        <w:jc w:val="both"/>
      </w:pPr>
      <w:r>
        <w:rPr>
          <w:sz w:val="21"/>
          <w:b/>
        </w:rPr>
        <w:t>1.本采购项目包含6个数据库，先对所包括的单个数据库进行报价并汇总报价，以汇总报价金额作为投标总价格，单项报价及汇总报价不能超出对应单项采购预算及包组总预算。报价包括供应商</w:t>
      </w:r>
      <w:r>
        <w:rPr>
          <w:sz w:val="21"/>
          <w:b/>
        </w:rPr>
        <w:t>设计、安装、随机零配件、标配工具、运输保险、调试、培训、合同期内服务、各项税费及合同实施过程中不可预见费用等与完成该项目相关的一切费用。上述费用已经包含采购人须向供应商支付的所有费用，除双方另有约定外，采购人无需再支付其他款项。</w:t>
      </w:r>
    </w:p>
    <w:p>
      <w:pPr>
        <w:pStyle w:val="null3"/>
        <w:jc w:val="both"/>
      </w:pPr>
      <w:r>
        <w:rPr>
          <w:sz w:val="21"/>
          <w:b/>
        </w:rPr>
        <w:t>2.各报价均保留小数点后2位有效小数。</w:t>
      </w:r>
    </w:p>
    <w:p>
      <w:pPr>
        <w:pStyle w:val="null3"/>
        <w:jc w:val="both"/>
      </w:pPr>
      <w:r>
        <w:rPr>
          <w:sz w:val="21"/>
          <w:b/>
        </w:rPr>
        <w:t>3.合计＝单价×数量；总计＝各合计之和；此处总计金额须与平台生成的《开标一览表》保持一致。</w:t>
      </w:r>
    </w:p>
    <w:p>
      <w:pPr>
        <w:pStyle w:val="null3"/>
        <w:jc w:val="both"/>
      </w:pPr>
      <w:r>
        <w:rPr>
          <w:sz w:val="21"/>
          <w:b/>
        </w:rPr>
        <w:t>4.该报价表请务必同步做进电子投标文件中并上传至广东省政府采购智慧云平台中。</w:t>
      </w:r>
    </w:p>
    <w:p>
      <w:pPr>
        <w:pStyle w:val="null3"/>
        <w:jc w:val="both"/>
      </w:pPr>
      <w:r>
        <w:rPr>
          <w:sz w:val="21"/>
        </w:rPr>
        <w:t>投标人名称（</w:t>
      </w:r>
      <w:r>
        <w:rPr>
          <w:sz w:val="21"/>
        </w:rPr>
        <w:t>单位盖</w:t>
      </w:r>
      <w:r>
        <w:rPr>
          <w:sz w:val="21"/>
        </w:rPr>
        <w:t>公章）：</w:t>
      </w:r>
    </w:p>
    <w:p>
      <w:pPr>
        <w:pStyle w:val="null3"/>
        <w:jc w:val="both"/>
      </w:pPr>
      <w:r>
        <w:rPr>
          <w:sz w:val="21"/>
        </w:rPr>
        <w:t>日期：</w:t>
      </w:r>
    </w:p>
    <w:p>
      <w:pPr>
        <w:pStyle w:val="null3"/>
        <w:jc w:val="center"/>
      </w:pPr>
      <w:r>
        <w:rPr>
          <w:sz w:val="24"/>
          <w:b/>
        </w:rPr>
        <w:t>投标分项报价表</w:t>
      </w:r>
    </w:p>
    <w:p>
      <w:pPr>
        <w:pStyle w:val="null3"/>
      </w:pPr>
      <w:r>
        <w:rPr/>
        <w:t xml:space="preserve"> </w:t>
      </w:r>
    </w:p>
    <w:p>
      <w:pPr>
        <w:pStyle w:val="null3"/>
        <w:jc w:val="both"/>
      </w:pPr>
      <w:r>
        <w:rPr>
          <w:sz w:val="21"/>
        </w:rPr>
        <w:t>项目名称：华南农业大学</w:t>
      </w:r>
      <w:r>
        <w:rPr>
          <w:sz w:val="21"/>
        </w:rPr>
        <w:t>2025年WOS等数据库采购服务项目</w:t>
      </w:r>
    </w:p>
    <w:p>
      <w:pPr>
        <w:pStyle w:val="null3"/>
        <w:jc w:val="both"/>
      </w:pPr>
      <w:r>
        <w:rPr>
          <w:sz w:val="21"/>
        </w:rPr>
        <w:t>采购包</w:t>
      </w:r>
      <w:r>
        <w:rPr>
          <w:sz w:val="21"/>
        </w:rPr>
        <w:t>2：2025年Elsevier ScienceDirect等数据库采购服务</w:t>
      </w:r>
    </w:p>
    <w:tbl>
      <w:tblPr>
        <w:tblW w:w="0" w:type="auto"/>
        <w:tblBorders>
          <w:top w:val="none" w:color="000000" w:sz="4"/>
          <w:left w:val="none" w:color="000000" w:sz="4"/>
          <w:bottom w:val="none" w:color="000000" w:sz="4"/>
          <w:right w:val="none" w:color="000000" w:sz="4"/>
          <w:insideH w:val="none"/>
          <w:insideV w:val="none"/>
        </w:tblBorders>
      </w:tblPr>
      <w:tblGrid>
        <w:gridCol w:w="515"/>
        <w:gridCol w:w="2661"/>
        <w:gridCol w:w="914"/>
        <w:gridCol w:w="1404"/>
        <w:gridCol w:w="1404"/>
        <w:gridCol w:w="1404"/>
      </w:tblGrid>
      <w:tr>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Elsevier ScienceDirect数据库</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Cell Press数据库</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Science Online</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SciFinder Academic</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牛津期刊现刊数据库</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Nature数据库</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ProQuest学位论文全文数据库</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09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c>
          <w:tcPr>
            <w:tcW w:type="dxa" w:w="42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小写：</w:t>
            </w:r>
            <w:r>
              <w:rPr>
                <w:sz w:val="21"/>
                <w:b/>
              </w:rPr>
              <w:t xml:space="preserve">¥           </w:t>
            </w:r>
          </w:p>
          <w:p>
            <w:pPr>
              <w:pStyle w:val="null3"/>
              <w:jc w:val="left"/>
            </w:pPr>
            <w:r>
              <w:rPr>
                <w:sz w:val="21"/>
                <w:b/>
              </w:rPr>
              <w:t>大写：</w:t>
            </w:r>
          </w:p>
        </w:tc>
      </w:tr>
    </w:tbl>
    <w:p>
      <w:pPr>
        <w:pStyle w:val="null3"/>
        <w:jc w:val="both"/>
      </w:pPr>
      <w:r>
        <w:rPr>
          <w:sz w:val="21"/>
          <w:b/>
        </w:rPr>
        <w:t>备注：</w:t>
      </w:r>
    </w:p>
    <w:p>
      <w:pPr>
        <w:pStyle w:val="null3"/>
        <w:jc w:val="both"/>
      </w:pPr>
      <w:r>
        <w:rPr>
          <w:sz w:val="21"/>
          <w:b/>
        </w:rPr>
        <w:t>1.本采购项目包含7个数据库，先对所包括的单个数据库进行报价并汇总报价，以汇总报价金额作为投标总价格，单项报价及汇总报价不能超出对应单项采购预算及包组总预算。报价包括供应商</w:t>
      </w:r>
      <w:r>
        <w:rPr>
          <w:sz w:val="21"/>
          <w:b/>
        </w:rPr>
        <w:t>设计、安装、随机零配件、标配工具、运输保险、调试、培训、合同期内服务、各项税费及合同实施过程中不可预见费用等与完成该项目相关的一切费用。上述费用已经包含采购人须向供应商支付的所有费用，除双方另有约定外，采购人无需再支付其他款项。</w:t>
      </w:r>
    </w:p>
    <w:p>
      <w:pPr>
        <w:pStyle w:val="null3"/>
        <w:jc w:val="both"/>
      </w:pPr>
      <w:r>
        <w:rPr>
          <w:sz w:val="21"/>
          <w:b/>
        </w:rPr>
        <w:t>2.各报价均保留小数点后2位有效小数。</w:t>
      </w:r>
    </w:p>
    <w:p>
      <w:pPr>
        <w:pStyle w:val="null3"/>
        <w:jc w:val="both"/>
      </w:pPr>
      <w:r>
        <w:rPr>
          <w:sz w:val="21"/>
          <w:b/>
        </w:rPr>
        <w:t>3.合计＝单价×数量；总计＝各合计之和；此处总计金额须与平台生成的《开标一览表》保持一致。</w:t>
      </w:r>
    </w:p>
    <w:p>
      <w:pPr>
        <w:pStyle w:val="null3"/>
        <w:jc w:val="both"/>
      </w:pPr>
      <w:r>
        <w:rPr>
          <w:sz w:val="21"/>
          <w:b/>
        </w:rPr>
        <w:t>4.该报价表请务必同步做进电子投标文件中并上传至广东省政府采购智慧云平台中。</w:t>
      </w:r>
    </w:p>
    <w:p>
      <w:pPr>
        <w:pStyle w:val="null3"/>
        <w:jc w:val="both"/>
      </w:pPr>
      <w:r>
        <w:rPr>
          <w:sz w:val="21"/>
        </w:rPr>
        <w:t>投标人名称（</w:t>
      </w:r>
      <w:r>
        <w:rPr>
          <w:sz w:val="21"/>
        </w:rPr>
        <w:t>单位盖</w:t>
      </w:r>
      <w:r>
        <w:rPr>
          <w:sz w:val="21"/>
        </w:rPr>
        <w:t>公章）：</w:t>
      </w:r>
    </w:p>
    <w:p>
      <w:pPr>
        <w:pStyle w:val="null3"/>
        <w:jc w:val="both"/>
      </w:pPr>
      <w:r>
        <w:rPr>
          <w:sz w:val="21"/>
        </w:rPr>
        <w:t>日期：</w:t>
      </w:r>
    </w:p>
    <w:p>
      <w:pPr>
        <w:pStyle w:val="null3"/>
        <w:jc w:val="both"/>
      </w:pPr>
      <w:r>
        <w:rPr/>
        <w:t>采购包1（2025年WOS等数据库采购服务）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自合同签订并且生效之日起10日历天内。</w:t>
            </w:r>
          </w:p>
        </w:tc>
      </w:tr>
      <w:tr>
        <w:tc>
          <w:tcPr>
            <w:tcW w:type="dxa" w:w="4153"/>
          </w:tcPr>
          <w:p>
            <w:pPr>
              <w:pStyle w:val="null3"/>
            </w:pPr>
            <w:r>
              <w:rPr/>
              <w:t>标的提供的地点</w:t>
            </w:r>
          </w:p>
        </w:tc>
        <w:tc>
          <w:tcPr>
            <w:tcW w:type="dxa" w:w="4153"/>
          </w:tcPr>
          <w:p>
            <w:pPr>
              <w:pStyle w:val="null3"/>
            </w:pPr>
            <w:r>
              <w:rPr/>
              <w:t>华南农业大学服务器或网络端口。</w:t>
            </w:r>
          </w:p>
        </w:tc>
      </w:tr>
      <w:tr/>
      <w:tr/>
      <w:tr>
        <w:tc>
          <w:tcPr>
            <w:tcW w:type="dxa" w:w="4153"/>
          </w:tcPr>
          <w:p>
            <w:pPr>
              <w:pStyle w:val="null3"/>
            </w:pPr>
            <w:r>
              <w:rPr/>
              <w:t>付款方式</w:t>
            </w:r>
          </w:p>
        </w:tc>
        <w:tc>
          <w:tcPr>
            <w:tcW w:type="dxa" w:w="4153"/>
          </w:tcPr>
          <w:p>
            <w:pPr>
              <w:pStyle w:val="null3"/>
            </w:pPr>
            <w:r>
              <w:rPr/>
              <w:t>第1期为(进度款)：支付比例100%，合同正式签订生效且数据库开通正常使用后，在中标人无违法违约的情况下，采购人在收到中标人开具的等额合法发票后10个工作日内支付全部货款。如因中标人未能及时提供前述发票而造成付款延误，不属采购人违约。（如作为中小企业中标，采购人在合同签订后5个工作日内预付款合同金额的30%，数据库开通正常使用且采购人收到中标人开具的等额合法有效发票后10个工作日内向中标人支付合同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必须保证提供的数据库产品符合行业标准规定的质量要求，保证按本合同约定事项提供产品；中标人必须依照招标文件的要求和投标文件的承诺，为采购人开通数据库网上访问权或安装镜像数据到采购人指定服务器，至采购人合法用户能正常登录并使用数据库资源。采购人收到中标人项目验收建议之日起7日内按照合同的约定对履约情况进行验收，对每一项技术、服务、安全标准的履约情况进行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知识产权责任要求，投标人已妥善解决好该电子资源所有的版权等相关知识产权问题。如在用户合理使用过程中因版权等相关知识产权问题引起法律纠纷，投标人承担所有责任并消除所有不良影响。</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数据加工处理服务</w:t>
            </w:r>
          </w:p>
        </w:tc>
        <w:tc>
          <w:tcPr>
            <w:tcW w:type="dxa" w:w="933"/>
          </w:tcPr>
          <w:p>
            <w:pPr>
              <w:pStyle w:val="null3"/>
              <w:jc w:val="left"/>
            </w:pPr>
            <w:r>
              <w:rPr/>
              <w:t>2025年WOS等数据库采购服务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5,553,131.00</w:t>
            </w:r>
          </w:p>
        </w:tc>
        <w:tc>
          <w:tcPr>
            <w:tcW w:type="dxa" w:w="933"/>
          </w:tcPr>
          <w:p>
            <w:pPr>
              <w:pStyle w:val="null3"/>
              <w:jc w:val="right"/>
            </w:pPr>
            <w:r>
              <w:rPr/>
              <w:t>5,553,131.00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2025年WOS等数据库采购服务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1.电子资源服务方式要求</w:t>
            </w:r>
          </w:p>
          <w:p>
            <w:pPr>
              <w:pStyle w:val="null3"/>
            </w:pPr>
            <w:r>
              <w:rPr/>
              <w:t>通过因特网上访问、浏览和下载（电子资源规定正常下载上限）2025年出版、更新的内容及本次采购电子资源允许开放给用户的以往年度的内容。用户机构IP范围内开放使用，无并发数限制。电子资源全年提供全天24小时网络服务。</w:t>
            </w:r>
          </w:p>
        </w:tc>
      </w:tr>
      <w:tr>
        <w:tc>
          <w:tcPr>
            <w:tcW w:type="dxa" w:w="2076"/>
          </w:tcPr>
          <w:p/>
        </w:tc>
        <w:tc>
          <w:tcPr>
            <w:tcW w:type="dxa" w:w="415"/>
          </w:tcPr>
          <w:p>
            <w:pPr>
              <w:pStyle w:val="null3"/>
            </w:pPr>
            <w:r>
              <w:rPr/>
              <w:t>2</w:t>
            </w:r>
          </w:p>
        </w:tc>
        <w:tc>
          <w:tcPr>
            <w:tcW w:type="dxa" w:w="5814"/>
          </w:tcPr>
          <w:p>
            <w:pPr>
              <w:pStyle w:val="null3"/>
            </w:pPr>
            <w:r>
              <w:rPr/>
              <w:t>2.按用户要求提供使用统计报告。中标人每年向采购人通报2次使用信息，每年1月向采购人提交上年度使用报表。</w:t>
            </w:r>
          </w:p>
        </w:tc>
      </w:tr>
      <w:tr>
        <w:tc>
          <w:tcPr>
            <w:tcW w:type="dxa" w:w="2076"/>
          </w:tcPr>
          <w:p/>
        </w:tc>
        <w:tc>
          <w:tcPr>
            <w:tcW w:type="dxa" w:w="415"/>
          </w:tcPr>
          <w:p>
            <w:pPr>
              <w:pStyle w:val="null3"/>
            </w:pPr>
            <w:r>
              <w:rPr/>
              <w:t>3</w:t>
            </w:r>
          </w:p>
        </w:tc>
        <w:tc>
          <w:tcPr>
            <w:tcW w:type="dxa" w:w="5814"/>
          </w:tcPr>
          <w:p>
            <w:pPr>
              <w:pStyle w:val="null3"/>
            </w:pPr>
            <w:r>
              <w:rPr/>
              <w:t>3.售后服务要求 访问服务承诺：故障反应时间不超过6小时，故障解决时间不超过24小时。中标人不能按时响应并解决故障的，应当赔偿用户因迟延解决故障造成的损失。连续或者累计三次不能按时响应并解决故障的，用户有权解除合同，并要求中标人退还已付款项，采购人还有权要求中标人赔偿采购人损失。</w:t>
            </w:r>
          </w:p>
        </w:tc>
      </w:tr>
      <w:tr>
        <w:tc>
          <w:tcPr>
            <w:tcW w:type="dxa" w:w="2076"/>
          </w:tcPr>
          <w:p/>
        </w:tc>
        <w:tc>
          <w:tcPr>
            <w:tcW w:type="dxa" w:w="415"/>
          </w:tcPr>
          <w:p>
            <w:pPr>
              <w:pStyle w:val="null3"/>
            </w:pPr>
            <w:r>
              <w:rPr/>
              <w:t>4</w:t>
            </w:r>
          </w:p>
        </w:tc>
        <w:tc>
          <w:tcPr>
            <w:tcW w:type="dxa" w:w="5814"/>
          </w:tcPr>
          <w:p>
            <w:pPr>
              <w:pStyle w:val="null3"/>
            </w:pPr>
            <w:r>
              <w:rPr/>
              <w:t>4.培训及宣传要求 中标人必须根据用户的要求至少安排1次培训，培训内容包括但不限于所采购电子资源使用方法与技巧、科研论文写作与投稿、专业学术讲座等，培训内容需保证意识形态导向正确。中标人根据用户的安排提供电子资源宣传推广支持，包括提供宣传资料、组织开展专项宣传活动等。具体由用户和中标人协商确定。由此产生的一切费用均包含在投标报价中，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采购包2（2025年Elsevier ScienceDirect等数据库采购服务）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自合同签订并且生效之日起10日历天内。</w:t>
            </w:r>
          </w:p>
        </w:tc>
      </w:tr>
      <w:tr>
        <w:tc>
          <w:tcPr>
            <w:tcW w:type="dxa" w:w="4153"/>
          </w:tcPr>
          <w:p>
            <w:pPr>
              <w:pStyle w:val="null3"/>
            </w:pPr>
            <w:r>
              <w:rPr/>
              <w:t>标的提供的地点</w:t>
            </w:r>
          </w:p>
        </w:tc>
        <w:tc>
          <w:tcPr>
            <w:tcW w:type="dxa" w:w="4153"/>
          </w:tcPr>
          <w:p>
            <w:pPr>
              <w:pStyle w:val="null3"/>
            </w:pPr>
            <w:r>
              <w:rPr/>
              <w:t>华南农业大学服务器或网络端口。</w:t>
            </w:r>
          </w:p>
        </w:tc>
      </w:tr>
      <w:tr/>
      <w:tr/>
      <w:tr>
        <w:tc>
          <w:tcPr>
            <w:tcW w:type="dxa" w:w="4153"/>
          </w:tcPr>
          <w:p>
            <w:pPr>
              <w:pStyle w:val="null3"/>
            </w:pPr>
            <w:r>
              <w:rPr/>
              <w:t>付款方式</w:t>
            </w:r>
          </w:p>
        </w:tc>
        <w:tc>
          <w:tcPr>
            <w:tcW w:type="dxa" w:w="4153"/>
          </w:tcPr>
          <w:p>
            <w:pPr>
              <w:pStyle w:val="null3"/>
            </w:pPr>
            <w:r>
              <w:rPr/>
              <w:t>第1期为(进度款)：支付比例100%，合同正式签订生效且数据库开通正常使用后，在中标人无违法违约的情况下，采购人在收到中标人开具的等额合法发票后10个工作日内支付全部货款。如因中标人未能及时提供前述发票而造成付款延误，不属采购人违约。（如作为中小企业中标，采购人在合同签订后5个工作日内预付款合同金额的30%，数据库开通正常使用且采购人收到中标人开具的等额合法有效发票后10个工作日内向中标人支付合同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必须保证提供的数据库产品符合行业标准规定的质量要求，保证按本合同约定事项提供产品；中标人必须依照招标文件的要求和投标文件的承诺，为采购人开通数据库网上访问权或安装镜像数据到采购人指定服务器，至采购人合法用户能正常登录并使用数据库资源。采购人收到中标人项目验收建议之日起7日内按照合同的约定对履约情况进行验收，对每一项技术、服务、安全标准的履约情况进行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知识产权责任要求，投标人已妥善解决好该电子资源所有的版权等相关知识产权问题。如在用户合理使用过程中因版权等相关知识产权问题引起法律纠纷，投标人承担所有责任并消除所有不良影响。</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数据加工处理服务</w:t>
            </w:r>
          </w:p>
        </w:tc>
        <w:tc>
          <w:tcPr>
            <w:tcW w:type="dxa" w:w="933"/>
          </w:tcPr>
          <w:p>
            <w:pPr>
              <w:pStyle w:val="null3"/>
              <w:jc w:val="left"/>
            </w:pPr>
            <w:r>
              <w:rPr/>
              <w:t>2025年Elsevier ScienceDirect等数据库采购服务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6,718,945.00</w:t>
            </w:r>
          </w:p>
        </w:tc>
        <w:tc>
          <w:tcPr>
            <w:tcW w:type="dxa" w:w="933"/>
          </w:tcPr>
          <w:p>
            <w:pPr>
              <w:pStyle w:val="null3"/>
              <w:jc w:val="right"/>
            </w:pPr>
            <w:r>
              <w:rPr/>
              <w:t>6,718,945.00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2025年Elsevier ScienceDirect等数据库采购服务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1.电子资源服务方式要求 通过因特网上访问、浏览和下载（电子资源规定正常下载上限）2025年出版、更新的内容及本次采购电子资源允许开放给用户的以往年度的内容。用户机构IP范围内开放使用，无并发数限制。电子资源全年提供全天24小时网络服务。</w:t>
            </w:r>
          </w:p>
        </w:tc>
      </w:tr>
      <w:tr>
        <w:tc>
          <w:tcPr>
            <w:tcW w:type="dxa" w:w="2076"/>
          </w:tcPr>
          <w:p/>
        </w:tc>
        <w:tc>
          <w:tcPr>
            <w:tcW w:type="dxa" w:w="415"/>
          </w:tcPr>
          <w:p>
            <w:pPr>
              <w:pStyle w:val="null3"/>
            </w:pPr>
            <w:r>
              <w:rPr/>
              <w:t>2</w:t>
            </w:r>
          </w:p>
        </w:tc>
        <w:tc>
          <w:tcPr>
            <w:tcW w:type="dxa" w:w="5814"/>
          </w:tcPr>
          <w:p>
            <w:pPr>
              <w:pStyle w:val="null3"/>
            </w:pPr>
            <w:r>
              <w:rPr/>
              <w:t>2.按用户要求提供使用统计报告。中标人每年向采购人通报2次使用信息，每年1月向采购人提交上年度使用报表。</w:t>
            </w:r>
          </w:p>
        </w:tc>
      </w:tr>
      <w:tr>
        <w:tc>
          <w:tcPr>
            <w:tcW w:type="dxa" w:w="2076"/>
          </w:tcPr>
          <w:p/>
        </w:tc>
        <w:tc>
          <w:tcPr>
            <w:tcW w:type="dxa" w:w="415"/>
          </w:tcPr>
          <w:p>
            <w:pPr>
              <w:pStyle w:val="null3"/>
            </w:pPr>
            <w:r>
              <w:rPr/>
              <w:t>3</w:t>
            </w:r>
          </w:p>
        </w:tc>
        <w:tc>
          <w:tcPr>
            <w:tcW w:type="dxa" w:w="5814"/>
          </w:tcPr>
          <w:p>
            <w:pPr>
              <w:pStyle w:val="null3"/>
            </w:pPr>
            <w:r>
              <w:rPr/>
              <w:t>3.售后服务要求 访问服务承诺：故障反应时间不超过6小时，故障解决时间不超过24小时。中标人不能按时响应并解决故障的，应当赔偿用户因迟延解决故障造成的损失。连续或者累计三次不能按时响应并解决故障的，用户有权解除合同，并要求中标人退还已付款项，采购人还有权要求中标人赔偿采购人损失。</w:t>
            </w:r>
          </w:p>
        </w:tc>
      </w:tr>
      <w:tr>
        <w:tc>
          <w:tcPr>
            <w:tcW w:type="dxa" w:w="2076"/>
          </w:tcPr>
          <w:p/>
        </w:tc>
        <w:tc>
          <w:tcPr>
            <w:tcW w:type="dxa" w:w="415"/>
          </w:tcPr>
          <w:p>
            <w:pPr>
              <w:pStyle w:val="null3"/>
            </w:pPr>
            <w:r>
              <w:rPr/>
              <w:t>4</w:t>
            </w:r>
          </w:p>
        </w:tc>
        <w:tc>
          <w:tcPr>
            <w:tcW w:type="dxa" w:w="5814"/>
          </w:tcPr>
          <w:p>
            <w:pPr>
              <w:pStyle w:val="null3"/>
            </w:pPr>
            <w:r>
              <w:rPr/>
              <w:t>4.培训及宣传要求 中标人必须根据用户的要求至少安排1次培训，培训内容包括但不限于所采购电子资源使用方法与技巧、科研论文写作与投稿、专业学术讲座等，培训内容需保证意识形态导向正确。中标人根据用户的安排提供电子资源宣传推广支持，包括提供宣传资料、组织开展专项宣传活动等。具体由用户和中标人协商确定。由此产生的一切费用均包含在投标报价中，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1.采购代理机构：本项目是指广东金扬教育采购中心有限公司，负责整个采购活动的组织，依法负责编制和发布招标文件，对招标文件拥有最终的解释权，不以任何身份出任评标委员会成员。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华南农业大学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采购机构代理服务收费标准：本项目代理服务费按以下标准费率下浮20%收取，以各包组中标金额按差额定率累进法计算： 预算金额100万元以下部分费率：1.5%；预算金额100-500万元部分费率：0.8%；预算金额500-1000万元部分费率：0.45%。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广东金扬教育采购中心有限公司</w:t>
      </w:r>
      <w:r>
        <w:rPr/>
        <w:t>代收。具体操作要求详见</w:t>
      </w:r>
      <w:r>
        <w:rPr/>
        <w:t>广东金扬教育采购中心有限公司</w:t>
      </w:r>
      <w:r>
        <w:rPr/>
        <w:t>有关指引，递交事宜请自行咨询</w:t>
      </w:r>
      <w:r>
        <w:rPr/>
        <w:t>广东金扬教育采购中心有限公司</w:t>
      </w:r>
      <w:r>
        <w:rPr/>
        <w:t>；请各投标人在投标文件递交截止时间前按须知前附表规定的金额递交至</w:t>
      </w:r>
      <w:r>
        <w:rPr/>
        <w:t>广东金扬教育采购中心有限公司</w:t>
      </w:r>
      <w:r>
        <w:rPr/>
        <w:t>，到账情况以开标时</w:t>
      </w:r>
      <w:r>
        <w:rPr/>
        <w:t>广东金扬教育采购中心有限公司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广东金扬教育采购中心有限公司（http://www.gdjycg.com）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广东金扬教育采购中心有限公司（http://www.gdjycg.com）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廖小姐</w:t>
      </w:r>
    </w:p>
    <w:p>
      <w:pPr>
        <w:pStyle w:val="null3"/>
        <w:ind w:firstLine="480"/>
      </w:pPr>
      <w:r>
        <w:rPr/>
        <w:t>电话：</w:t>
      </w:r>
      <w:r>
        <w:rPr/>
        <w:t>020-37619972</w:t>
      </w:r>
    </w:p>
    <w:p>
      <w:pPr>
        <w:pStyle w:val="null3"/>
        <w:ind w:firstLine="480"/>
      </w:pPr>
      <w:r>
        <w:rPr/>
        <w:t>传真：</w:t>
      </w:r>
      <w:r>
        <w:rPr/>
        <w:t>/</w:t>
      </w:r>
    </w:p>
    <w:p>
      <w:pPr>
        <w:pStyle w:val="null3"/>
        <w:ind w:firstLine="480"/>
      </w:pPr>
      <w:r>
        <w:rPr/>
        <w:t>邮箱：</w:t>
      </w:r>
      <w:r>
        <w:rPr/>
        <w:t>jycg001@qq.com</w:t>
      </w:r>
    </w:p>
    <w:p>
      <w:pPr>
        <w:pStyle w:val="null3"/>
        <w:ind w:firstLine="480"/>
      </w:pPr>
      <w:r>
        <w:rPr/>
        <w:t>地址：</w:t>
      </w:r>
      <w:r>
        <w:rPr/>
        <w:t>广州市越秀区环市东路461号7号楼5楼</w:t>
      </w:r>
    </w:p>
    <w:p>
      <w:pPr>
        <w:pStyle w:val="null3"/>
        <w:ind w:firstLine="480"/>
      </w:pPr>
      <w:r>
        <w:rPr/>
        <w:t>邮编：</w:t>
      </w:r>
      <w:r>
        <w:rPr/>
        <w:t>510075</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采购包1(2025年WOS等数据库采购服务)：综合评分法,是指投标文件满足招标文件全部实质性要求，且按照评审因素的量化指标评审得分最高的投标人为中标候选人的评标方法。（最低报价不是中标的唯一依据。）</w:t>
      </w:r>
    </w:p>
    <w:p>
      <w:pPr>
        <w:pStyle w:val="null3"/>
      </w:pPr>
      <w:r>
        <w:rPr/>
        <w:t>采购包2(2025年Elsevier ScienceDirect等数据库采购服务)：综合评分法,是指投标文件满足招标文件全部实质性要求，且按照评审因素的量化指标评审得分最高的投标人为中标候选人的评标方法。（最低报价不是中标的唯一依据。）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广东金扬教育采购中心有限公司</w:t>
      </w:r>
      <w:r>
        <w:rPr/>
        <w:t>统一对外发布。</w:t>
      </w:r>
    </w:p>
    <w:p>
      <w:pPr>
        <w:pStyle w:val="null3"/>
        <w:ind w:firstLine="480"/>
      </w:pPr>
      <w:r>
        <w:rPr/>
        <w:t>（2）对</w:t>
      </w:r>
      <w:r>
        <w:rPr/>
        <w:t>广东金扬教育采购中心有限公司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采购包1（2025年WOS等数据库采购服务）：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20%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采购包2（2025年Elsevier ScienceDirect等数据库采购服务）：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20%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采购包1（2025年WOS等数据库采购服务）：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提交法人或者其他组织的营业执照等证明文件、自然人的身份证明复印件（分支机构投标的，须同时提供总公司和分支机构的上述证明文件及总公司出具给分支机构的授权书）。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提供投标截止日前六个月内任意一个月在中国境内依法缴纳税收和社会保障资金的相关材料，如依法免税和依法不需要缴纳社会保障资金的，应提供相应证明文件。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提供2024年的财务状况报告复印件或基本开户银行2025年出具的资信证明。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盖章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信用记录：未被列入“信用中国”网站“失信被执行人、重大税收违法失信主体、政府采购严重违法失信行为记录名单”中；不处于中国政府采购网“政府采购严重违法失信行为信息记录”中的禁止参加政府采购活动期间（以采购代理机构于投标截止日当天资格审查前在上述网站查询结果为准，如相关记录已失效，供应商需提供相关证明资料；未查询到的视为未被列入上述名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投标人必须符合法律、行政法规规定的其他条件：提供盖章声明函（包括但不限于单位负责人为同一人或者存在直接控股、管理关系的不同投标人，不得同时参加本采购项目（包组）投标。前期为本项目提供整体设计、规范编制或者项目管理、监理、检测等服务的投标人，不得再参与本项目投标）。</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投标人具备《中华人民共和国出版物经营许可证》及《中华人民共和国出版物进口经营许可证》（投标时提供有效证书扫描件，如国家另有规定，则适用其规定）。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pPr>
      <w:r>
        <w:rPr/>
        <w:t>采购包2（2025年Elsevier ScienceDirect等数据库采购服务）：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提交法人或者其他组织的营业执照等证明文件、自然人的身份证明复印件（分支机构投标的，须同时提供总公司和分支机构的上述证明文件及总公司出具给分支机构的授权书）。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提供投标截止日前六个月内任意一个月在中国境内依法缴纳税收和社会保障资金的相关材料，如依法免税和依法不需要缴纳社会保障资金的，应提供相应证明文件。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提供2024年的财务状况报告复印件或基本开户银行2025年出具的资信证明。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盖章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信用记录：未被列入“信用中国”网站“失信被执行人、重大税收违法失信主体、政府采购严重违法失信行为记录名单”中；不处于中国政府采购网“政府采购严重违法失信行为信息记录”中的禁止参加政府采购活动期间（以采购代理机构于投标截止日当天资格审查前在上述网站查询结果为准，如相关记录已失效，供应商需提供相关证明资料；未查询到的视为未被列入上述名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投标人必须符合法律、行政法规规定的其他条件：提供盖章声明函（包括但不限于单位负责人为同一人或者存在直接控股、管理关系的不同投标人，不得同时参加本采购项目（包组）投标。前期为本项目提供整体设计、规范编制或者项目管理、监理、检测等服务的投标人，不得再参与本项目投标）。</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投标人具备《中华人民共和国出版物经营许可证》及《中华人民共和国出版物进口经营许可证》（投标时提供有效证书扫描件，如国家另有规定，则适用其规定）。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ind w:firstLine="480"/>
      </w:pPr>
      <w:r>
        <w:rPr/>
        <w:t>表二符合性审查表：</w:t>
      </w:r>
    </w:p>
    <w:p>
      <w:pPr>
        <w:pStyle w:val="null3"/>
      </w:pPr>
      <w:r>
        <w:rPr/>
        <w:t>采购包1（2025年WOS等数据库采购服务）：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对全部采购内容进行投标报价，报价固定且唯一，不超过单项采购预算或包组总采购预算（或最高限价）。</w:t>
            </w:r>
          </w:p>
        </w:tc>
      </w:tr>
      <w:tr>
        <w:tc>
          <w:tcPr>
            <w:tcW w:type="dxa" w:w="890"/>
          </w:tcPr>
          <w:p>
            <w:pPr>
              <w:pStyle w:val="null3"/>
            </w:pPr>
            <w:r>
              <w:rPr/>
              <w:t>2</w:t>
            </w:r>
          </w:p>
        </w:tc>
        <w:tc>
          <w:tcPr>
            <w:tcW w:type="dxa" w:w="3178"/>
          </w:tcPr>
          <w:p>
            <w:pPr>
              <w:pStyle w:val="null3"/>
            </w:pPr>
            <w:r>
              <w:rPr/>
              <w:t>实质性条款</w:t>
            </w:r>
          </w:p>
        </w:tc>
        <w:tc>
          <w:tcPr>
            <w:tcW w:type="dxa" w:w="4238"/>
          </w:tcPr>
          <w:p>
            <w:pPr>
              <w:pStyle w:val="null3"/>
            </w:pPr>
            <w:r>
              <w:rPr/>
              <w:t>投标文件实质性响应招标文件★号条款、标的提供的时间、地点、付款方式、验收要求及知识产权责任要求。</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投标函按规定格式填写，内容完整，投标有效期不少于投标截止日起90日历天。</w:t>
            </w:r>
          </w:p>
        </w:tc>
      </w:tr>
      <w:tr>
        <w:tc>
          <w:tcPr>
            <w:tcW w:type="dxa" w:w="890"/>
          </w:tcPr>
          <w:p>
            <w:pPr>
              <w:pStyle w:val="null3"/>
            </w:pPr>
            <w:r>
              <w:rPr/>
              <w:t>4</w:t>
            </w:r>
          </w:p>
        </w:tc>
        <w:tc>
          <w:tcPr>
            <w:tcW w:type="dxa" w:w="3178"/>
          </w:tcPr>
          <w:p>
            <w:pPr>
              <w:pStyle w:val="null3"/>
            </w:pPr>
            <w:r>
              <w:rPr/>
              <w:t>授权书</w:t>
            </w:r>
          </w:p>
        </w:tc>
        <w:tc>
          <w:tcPr>
            <w:tcW w:type="dxa" w:w="4238"/>
          </w:tcPr>
          <w:p>
            <w:pPr>
              <w:pStyle w:val="null3"/>
            </w:pPr>
            <w:r>
              <w:rPr/>
              <w:t>提交法定代表人证明书及其授权书原件（签署、盖章）。</w:t>
            </w:r>
          </w:p>
        </w:tc>
      </w:tr>
      <w:tr>
        <w:tc>
          <w:tcPr>
            <w:tcW w:type="dxa" w:w="890"/>
          </w:tcPr>
          <w:p>
            <w:pPr>
              <w:pStyle w:val="null3"/>
            </w:pPr>
            <w:r>
              <w:rPr/>
              <w:t>5</w:t>
            </w:r>
          </w:p>
        </w:tc>
        <w:tc>
          <w:tcPr>
            <w:tcW w:type="dxa" w:w="3178"/>
          </w:tcPr>
          <w:p>
            <w:pPr>
              <w:pStyle w:val="null3"/>
            </w:pPr>
            <w:r>
              <w:rPr/>
              <w:t>违法情形</w:t>
            </w:r>
          </w:p>
        </w:tc>
        <w:tc>
          <w:tcPr>
            <w:tcW w:type="dxa" w:w="4238"/>
          </w:tcPr>
          <w:p>
            <w:pPr>
              <w:pStyle w:val="null3"/>
            </w:pPr>
            <w:r>
              <w:rPr/>
              <w:t>未出现投标人串通投标法定情形或含有采购人不能接受的附加条件。</w:t>
            </w:r>
          </w:p>
        </w:tc>
      </w:tr>
      <w:tr>
        <w:tc>
          <w:tcPr>
            <w:tcW w:type="dxa" w:w="890"/>
          </w:tcPr>
          <w:p>
            <w:pPr>
              <w:pStyle w:val="null3"/>
            </w:pPr>
            <w:r>
              <w:rPr/>
              <w:t>6</w:t>
            </w:r>
          </w:p>
        </w:tc>
        <w:tc>
          <w:tcPr>
            <w:tcW w:type="dxa" w:w="3178"/>
          </w:tcPr>
          <w:p>
            <w:pPr>
              <w:pStyle w:val="null3"/>
            </w:pPr>
            <w:r>
              <w:rPr/>
              <w:t>无效情形</w:t>
            </w:r>
          </w:p>
        </w:tc>
        <w:tc>
          <w:tcPr>
            <w:tcW w:type="dxa" w:w="4238"/>
          </w:tcPr>
          <w:p>
            <w:pPr>
              <w:pStyle w:val="null3"/>
            </w:pPr>
            <w:r>
              <w:rPr/>
              <w:t>符合法律、法规规定的其他实质性要求且无招标文件中规定的其它无效投标情形。</w:t>
            </w:r>
          </w:p>
        </w:tc>
      </w:tr>
      <w:tr>
        <w:tc>
          <w:tcPr>
            <w:tcW w:type="dxa" w:w="890"/>
          </w:tcPr>
          <w:p>
            <w:pPr>
              <w:pStyle w:val="null3"/>
            </w:pPr>
            <w:r>
              <w:rPr/>
              <w:t>7</w:t>
            </w:r>
          </w:p>
        </w:tc>
        <w:tc>
          <w:tcPr>
            <w:tcW w:type="dxa" w:w="3178"/>
          </w:tcPr>
          <w:p>
            <w:pPr>
              <w:pStyle w:val="null3"/>
            </w:pPr>
            <w:r>
              <w:rPr/>
              <w:t>签署盖章</w:t>
            </w:r>
          </w:p>
        </w:tc>
        <w:tc>
          <w:tcPr>
            <w:tcW w:type="dxa" w:w="4238"/>
          </w:tcPr>
          <w:p>
            <w:pPr>
              <w:pStyle w:val="null3"/>
            </w:pPr>
            <w:r>
              <w:rPr/>
              <w:t>投标文件按招标文件要求签署、盖章。</w:t>
            </w:r>
          </w:p>
        </w:tc>
      </w:tr>
    </w:tbl>
    <w:p>
      <w:pPr>
        <w:pStyle w:val="null3"/>
      </w:pPr>
      <w:r>
        <w:rPr/>
        <w:t>采购包2（2025年Elsevier ScienceDirect等数据库采购服务）：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对全部采购内容进行投标报价，报价固定且唯一，不超过单项采购预算或包组总采购预算（或最高限价）。</w:t>
            </w:r>
          </w:p>
        </w:tc>
      </w:tr>
      <w:tr>
        <w:tc>
          <w:tcPr>
            <w:tcW w:type="dxa" w:w="890"/>
          </w:tcPr>
          <w:p>
            <w:pPr>
              <w:pStyle w:val="null3"/>
            </w:pPr>
            <w:r>
              <w:rPr/>
              <w:t>2</w:t>
            </w:r>
          </w:p>
        </w:tc>
        <w:tc>
          <w:tcPr>
            <w:tcW w:type="dxa" w:w="3178"/>
          </w:tcPr>
          <w:p>
            <w:pPr>
              <w:pStyle w:val="null3"/>
            </w:pPr>
            <w:r>
              <w:rPr/>
              <w:t>实质性条款</w:t>
            </w:r>
          </w:p>
        </w:tc>
        <w:tc>
          <w:tcPr>
            <w:tcW w:type="dxa" w:w="4238"/>
          </w:tcPr>
          <w:p>
            <w:pPr>
              <w:pStyle w:val="null3"/>
            </w:pPr>
            <w:r>
              <w:rPr/>
              <w:t>投标文件实质性响应招标文件★号条款、标的提供的时间、地点、付款方式、验收要求及知识产权责任要求。</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投标函按规定格式填写，内容完整，投标有效期不少于投标截止日起90日历天。</w:t>
            </w:r>
          </w:p>
        </w:tc>
      </w:tr>
      <w:tr>
        <w:tc>
          <w:tcPr>
            <w:tcW w:type="dxa" w:w="890"/>
          </w:tcPr>
          <w:p>
            <w:pPr>
              <w:pStyle w:val="null3"/>
            </w:pPr>
            <w:r>
              <w:rPr/>
              <w:t>4</w:t>
            </w:r>
          </w:p>
        </w:tc>
        <w:tc>
          <w:tcPr>
            <w:tcW w:type="dxa" w:w="3178"/>
          </w:tcPr>
          <w:p>
            <w:pPr>
              <w:pStyle w:val="null3"/>
            </w:pPr>
            <w:r>
              <w:rPr/>
              <w:t>授权书</w:t>
            </w:r>
          </w:p>
        </w:tc>
        <w:tc>
          <w:tcPr>
            <w:tcW w:type="dxa" w:w="4238"/>
          </w:tcPr>
          <w:p>
            <w:pPr>
              <w:pStyle w:val="null3"/>
            </w:pPr>
            <w:r>
              <w:rPr/>
              <w:t>提交法定代表人证明书及其授权书原件（签署、盖章）。</w:t>
            </w:r>
          </w:p>
        </w:tc>
      </w:tr>
      <w:tr>
        <w:tc>
          <w:tcPr>
            <w:tcW w:type="dxa" w:w="890"/>
          </w:tcPr>
          <w:p>
            <w:pPr>
              <w:pStyle w:val="null3"/>
            </w:pPr>
            <w:r>
              <w:rPr/>
              <w:t>5</w:t>
            </w:r>
          </w:p>
        </w:tc>
        <w:tc>
          <w:tcPr>
            <w:tcW w:type="dxa" w:w="3178"/>
          </w:tcPr>
          <w:p>
            <w:pPr>
              <w:pStyle w:val="null3"/>
            </w:pPr>
            <w:r>
              <w:rPr/>
              <w:t>违法情形</w:t>
            </w:r>
          </w:p>
        </w:tc>
        <w:tc>
          <w:tcPr>
            <w:tcW w:type="dxa" w:w="4238"/>
          </w:tcPr>
          <w:p>
            <w:pPr>
              <w:pStyle w:val="null3"/>
            </w:pPr>
            <w:r>
              <w:rPr/>
              <w:t>未出现投标人串通投标法定情形或含有采购人不能接受的附加条件。</w:t>
            </w:r>
          </w:p>
        </w:tc>
      </w:tr>
      <w:tr>
        <w:tc>
          <w:tcPr>
            <w:tcW w:type="dxa" w:w="890"/>
          </w:tcPr>
          <w:p>
            <w:pPr>
              <w:pStyle w:val="null3"/>
            </w:pPr>
            <w:r>
              <w:rPr/>
              <w:t>6</w:t>
            </w:r>
          </w:p>
        </w:tc>
        <w:tc>
          <w:tcPr>
            <w:tcW w:type="dxa" w:w="3178"/>
          </w:tcPr>
          <w:p>
            <w:pPr>
              <w:pStyle w:val="null3"/>
            </w:pPr>
            <w:r>
              <w:rPr/>
              <w:t>无效情形</w:t>
            </w:r>
          </w:p>
        </w:tc>
        <w:tc>
          <w:tcPr>
            <w:tcW w:type="dxa" w:w="4238"/>
          </w:tcPr>
          <w:p>
            <w:pPr>
              <w:pStyle w:val="null3"/>
            </w:pPr>
            <w:r>
              <w:rPr/>
              <w:t>符合法律、法规规定的其他实质性要求且无招标文件中规定的其它无效投标情形。</w:t>
            </w:r>
          </w:p>
        </w:tc>
      </w:tr>
      <w:tr>
        <w:tc>
          <w:tcPr>
            <w:tcW w:type="dxa" w:w="890"/>
          </w:tcPr>
          <w:p>
            <w:pPr>
              <w:pStyle w:val="null3"/>
            </w:pPr>
            <w:r>
              <w:rPr/>
              <w:t>7</w:t>
            </w:r>
          </w:p>
        </w:tc>
        <w:tc>
          <w:tcPr>
            <w:tcW w:type="dxa" w:w="3178"/>
          </w:tcPr>
          <w:p>
            <w:pPr>
              <w:pStyle w:val="null3"/>
            </w:pPr>
            <w:r>
              <w:rPr/>
              <w:t>签署盖章</w:t>
            </w:r>
          </w:p>
        </w:tc>
        <w:tc>
          <w:tcPr>
            <w:tcW w:type="dxa" w:w="4238"/>
          </w:tcPr>
          <w:p>
            <w:pPr>
              <w:pStyle w:val="null3"/>
            </w:pPr>
            <w:r>
              <w:rPr/>
              <w:t>投标文件按招标文件要求签署、盖章。</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采购包1(2025年WOS等数据库采购服务):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技术部分20.0分</w:t>
            </w:r>
          </w:p>
          <w:p>
            <w:pPr>
              <w:pStyle w:val="null3"/>
            </w:pPr>
            <w:r>
              <w:rPr/>
              <w:t>报价得分60.0分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对招标文件技术要求的响应程度 (4.0分)</w:t>
            </w:r>
          </w:p>
        </w:tc>
        <w:tc>
          <w:tcPr>
            <w:tcW w:type="dxa" w:w="5076"/>
          </w:tcPr>
          <w:p>
            <w:pPr>
              <w:pStyle w:val="null3"/>
              <w:jc w:val="left"/>
            </w:pPr>
            <w:r>
              <w:rPr/>
              <w:t>根据招标文件《第二章 采购需求》的“技术标准与要求”中的“具体技术(参数)要求”序号1和序号2的参数条款与投标文件的响应程度进行评审： 一般条款（共计2个）每一个没有负偏离的得2分，本项满分4分。 （提供技术要求响应表，若技术要求中有要求提供证明材料的，需提供符合要求证明材料，否则视为负偏离。）</w:t>
            </w:r>
          </w:p>
        </w:tc>
      </w:tr>
      <w:tr>
        <w:tc>
          <w:tcPr>
            <w:tcW w:type="dxa" w:w="922"/>
            <w:gridSpan w:val="2"/>
            <w:vMerge/>
          </w:tcPr>
          <w:p/>
        </w:tc>
        <w:tc>
          <w:tcPr>
            <w:tcW w:type="dxa" w:w="2307"/>
          </w:tcPr>
          <w:p>
            <w:pPr>
              <w:pStyle w:val="null3"/>
              <w:jc w:val="left"/>
            </w:pPr>
            <w:r>
              <w:rPr/>
              <w:t>培训方案① (1.0分)</w:t>
            </w:r>
          </w:p>
        </w:tc>
        <w:tc>
          <w:tcPr>
            <w:tcW w:type="dxa" w:w="5076"/>
          </w:tcPr>
          <w:p>
            <w:pPr>
              <w:pStyle w:val="null3"/>
              <w:jc w:val="left"/>
            </w:pPr>
            <w:r>
              <w:rPr/>
              <w:t>根据投标人响应本项目的培训方案进行评审：能提供针对本项目的培训方案，包括①培训内容、②培训人员安排、③培训实施计划、④宣传推广方案，得1分；如未能提供培训方案或缺少内容的，本项及以下评分项“培训方案②”均不得分。</w:t>
            </w:r>
          </w:p>
        </w:tc>
      </w:tr>
      <w:tr>
        <w:tc>
          <w:tcPr>
            <w:tcW w:type="dxa" w:w="922"/>
            <w:gridSpan w:val="2"/>
            <w:vMerge/>
          </w:tcPr>
          <w:p/>
        </w:tc>
        <w:tc>
          <w:tcPr>
            <w:tcW w:type="dxa" w:w="2307"/>
          </w:tcPr>
          <w:p>
            <w:pPr>
              <w:pStyle w:val="null3"/>
              <w:jc w:val="left"/>
            </w:pPr>
            <w:r>
              <w:rPr/>
              <w:t>培训方案② (5.0分)</w:t>
            </w:r>
          </w:p>
        </w:tc>
        <w:tc>
          <w:tcPr>
            <w:tcW w:type="dxa" w:w="5076"/>
          </w:tcPr>
          <w:p>
            <w:pPr>
              <w:pStyle w:val="null3"/>
              <w:jc w:val="left"/>
            </w:pPr>
            <w:r>
              <w:rPr/>
              <w:t>根据投标人提供的培训方案进行评审： 培训方案符合项目需要，培训内容丰富，培训人员安排及培训实施计划合理，宣传推广方案详细具体，得5分； 有提供培训方案，培训内容多样，培训人员安排及培训实施计划较合理，宣传推广方案完整，得3分； 有提供培训方案，但内容较为简单，得1分； 有培训方案，但方案不合理，得0分。</w:t>
            </w:r>
          </w:p>
        </w:tc>
      </w:tr>
      <w:tr>
        <w:tc>
          <w:tcPr>
            <w:tcW w:type="dxa" w:w="922"/>
            <w:gridSpan w:val="2"/>
            <w:vMerge/>
          </w:tcPr>
          <w:p/>
        </w:tc>
        <w:tc>
          <w:tcPr>
            <w:tcW w:type="dxa" w:w="2307"/>
          </w:tcPr>
          <w:p>
            <w:pPr>
              <w:pStyle w:val="null3"/>
              <w:jc w:val="left"/>
            </w:pPr>
            <w:r>
              <w:rPr/>
              <w:t>应急响应方案① (1.0分)</w:t>
            </w:r>
          </w:p>
        </w:tc>
        <w:tc>
          <w:tcPr>
            <w:tcW w:type="dxa" w:w="5076"/>
          </w:tcPr>
          <w:p>
            <w:pPr>
              <w:pStyle w:val="null3"/>
              <w:jc w:val="left"/>
            </w:pPr>
            <w:r>
              <w:rPr/>
              <w:t>根据投标人响应本项目的应急响应方案进行评审：能提供针对本项目的应急响应方案，包括①响应时间、②服务机构设置，得1分；如未能提供应急响应方案或缺少内容的，本项及以下评分项“应急响应方案②”均不得分。</w:t>
            </w:r>
          </w:p>
        </w:tc>
      </w:tr>
      <w:tr>
        <w:tc>
          <w:tcPr>
            <w:tcW w:type="dxa" w:w="922"/>
            <w:gridSpan w:val="2"/>
            <w:vMerge/>
          </w:tcPr>
          <w:p/>
        </w:tc>
        <w:tc>
          <w:tcPr>
            <w:tcW w:type="dxa" w:w="2307"/>
          </w:tcPr>
          <w:p>
            <w:pPr>
              <w:pStyle w:val="null3"/>
              <w:jc w:val="left"/>
            </w:pPr>
            <w:r>
              <w:rPr/>
              <w:t>应急响应方案② (5.0分)</w:t>
            </w:r>
          </w:p>
        </w:tc>
        <w:tc>
          <w:tcPr>
            <w:tcW w:type="dxa" w:w="5076"/>
          </w:tcPr>
          <w:p>
            <w:pPr>
              <w:pStyle w:val="null3"/>
              <w:jc w:val="left"/>
            </w:pPr>
            <w:r>
              <w:rPr/>
              <w:t>根据投标人提供的应急响应方案进行评审： 响应时间优于采购需求，能提供服务机构设置证明材料，服务便捷性高得5分； 响应时间满足采购需求，能提供服务机构设置证明材料，有一定的服务便捷性得3分； 响应时间满足采购需求，不能提供服务机构设置证明材料得1分； 响应时间不满足采购需求，得0分。</w:t>
            </w:r>
          </w:p>
        </w:tc>
      </w:tr>
      <w:tr>
        <w:tc>
          <w:tcPr>
            <w:tcW w:type="dxa" w:w="922"/>
            <w:gridSpan w:val="2"/>
            <w:vMerge/>
          </w:tcPr>
          <w:p/>
        </w:tc>
        <w:tc>
          <w:tcPr>
            <w:tcW w:type="dxa" w:w="2307"/>
          </w:tcPr>
          <w:p>
            <w:pPr>
              <w:pStyle w:val="null3"/>
              <w:jc w:val="left"/>
            </w:pPr>
            <w:r>
              <w:rPr/>
              <w:t>服务案例 (4.0分)</w:t>
            </w:r>
          </w:p>
        </w:tc>
        <w:tc>
          <w:tcPr>
            <w:tcW w:type="dxa" w:w="5076"/>
          </w:tcPr>
          <w:p>
            <w:pPr>
              <w:pStyle w:val="null3"/>
              <w:jc w:val="left"/>
            </w:pPr>
            <w:r>
              <w:rPr/>
              <w:t>提供常规应急响应案例和个性化服务案例： 1、常规应急响应案例：故障反应和解决案例，提供与用户沟通故障反应、及时和妥善解决的全过程的邮件或其他通讯工具截图打印页，每提供一个案例得1分，最高得2分； 2、个性化服务案例：包括结合投标人优势资源，组织的数据库采购的相关培训、宣传推广活动等以往案例；须列出服务内容、组织方式、参与对象范围、开展的时间和地点等，每提供一个案例得0.5分，最高2分。 本项累计最高得4分，提供相关案例证明材料，否则不得分。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(10.0分)</w:t>
            </w:r>
          </w:p>
        </w:tc>
        <w:tc>
          <w:tcPr>
            <w:tcW w:type="dxa" w:w="5076"/>
          </w:tcPr>
          <w:p>
            <w:pPr>
              <w:pStyle w:val="null3"/>
              <w:jc w:val="left"/>
            </w:pPr>
            <w:r>
              <w:rPr/>
              <w:t>根据投标人2022年1月1日至今（以合同签订时间为准）同类业绩（合同需包含各采购包中任一数据库采购合同），每提供一个项目业绩得2分，最高得10分。 注：提供合同关键页（含签订合同双方的单位名称、合同项目名称、签订合同双方的落款盖章、签订日期的关键页）复印件并加盖投标人公章，否则不得分。</w:t>
            </w:r>
          </w:p>
        </w:tc>
      </w:tr>
      <w:tr>
        <w:tc>
          <w:tcPr>
            <w:tcW w:type="dxa" w:w="922"/>
            <w:gridSpan w:val="2"/>
            <w:vMerge/>
          </w:tcPr>
          <w:p/>
        </w:tc>
        <w:tc>
          <w:tcPr>
            <w:tcW w:type="dxa" w:w="2307"/>
          </w:tcPr>
          <w:p>
            <w:pPr>
              <w:pStyle w:val="null3"/>
              <w:jc w:val="left"/>
            </w:pPr>
            <w:r>
              <w:rPr/>
              <w:t>客户评价情况 (10.0分)</w:t>
            </w:r>
          </w:p>
        </w:tc>
        <w:tc>
          <w:tcPr>
            <w:tcW w:type="dxa" w:w="5076"/>
          </w:tcPr>
          <w:p>
            <w:pPr>
              <w:pStyle w:val="null3"/>
              <w:jc w:val="left"/>
            </w:pPr>
            <w:r>
              <w:rPr/>
              <w:t>投标人提供上述被认定为有效业绩的用户单位出具的用户评价材料，每提供一项用户单位正面评价（如满意、优秀或相当于满意、优秀的评价）的，得2分，本项最高得10分。 注：提供用户评价证明材料并须体现用户单位印章，否则不得分；单个用户单位提供多项用户服务评价的，按一项计算得分。</w:t>
            </w:r>
          </w:p>
        </w:tc>
      </w:tr>
      <w:tr>
        <w:tc>
          <w:tcPr>
            <w:tcW w:type="dxa" w:w="922"/>
            <w:gridSpan w:val="2"/>
          </w:tcPr>
          <w:p>
            <w:pPr>
              <w:pStyle w:val="null3"/>
              <w:jc w:val="center"/>
            </w:pPr>
            <w:r>
              <w:rPr/>
              <w:t>投标报价</w:t>
            </w:r>
          </w:p>
        </w:tc>
        <w:tc>
          <w:tcPr>
            <w:tcW w:type="dxa" w:w="2307"/>
          </w:tcPr>
          <w:p>
            <w:pPr>
              <w:pStyle w:val="null3"/>
              <w:jc w:val="left"/>
            </w:pPr>
            <w:r>
              <w:rPr/>
              <w:t>投标报价得分 (60.0分)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采购包2(2025年Elsevier ScienceDirect等数据库采购服务):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技术部分20.0分</w:t>
            </w:r>
          </w:p>
          <w:p>
            <w:pPr>
              <w:pStyle w:val="null3"/>
            </w:pPr>
            <w:r>
              <w:rPr/>
              <w:t>报价得分60.0分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对招标文件技术要求的响应程度 (4.0分)</w:t>
            </w:r>
          </w:p>
        </w:tc>
        <w:tc>
          <w:tcPr>
            <w:tcW w:type="dxa" w:w="5076"/>
          </w:tcPr>
          <w:p>
            <w:pPr>
              <w:pStyle w:val="null3"/>
              <w:jc w:val="left"/>
            </w:pPr>
            <w:r>
              <w:rPr/>
              <w:t>根据招标文件《第二章 采购需求》的“技术标准与要求”中的“具体技术(参数)要求”序号1和序号2的参数条款与投标文件的响应程度进行评审： 一般条款（共计2个）每一个没有负偏离的得2分，本项满分4分。 （提供技术要求响应表，若技术要求中有要求提供证明材料的，需提供符合要求证明材料，否则视为负偏离。）</w:t>
            </w:r>
          </w:p>
        </w:tc>
      </w:tr>
      <w:tr>
        <w:tc>
          <w:tcPr>
            <w:tcW w:type="dxa" w:w="922"/>
            <w:gridSpan w:val="2"/>
            <w:vMerge/>
          </w:tcPr>
          <w:p/>
        </w:tc>
        <w:tc>
          <w:tcPr>
            <w:tcW w:type="dxa" w:w="2307"/>
          </w:tcPr>
          <w:p>
            <w:pPr>
              <w:pStyle w:val="null3"/>
              <w:jc w:val="left"/>
            </w:pPr>
            <w:r>
              <w:rPr/>
              <w:t>培训方案① (1.0分)</w:t>
            </w:r>
          </w:p>
        </w:tc>
        <w:tc>
          <w:tcPr>
            <w:tcW w:type="dxa" w:w="5076"/>
          </w:tcPr>
          <w:p>
            <w:pPr>
              <w:pStyle w:val="null3"/>
              <w:jc w:val="left"/>
            </w:pPr>
            <w:r>
              <w:rPr/>
              <w:t>根据投标人响应本项目的培训方案进行评审：能提供针对本项目的培训方案，包括①培训内容、②培训人员安排、③培训实施计划、④宣传推广方案，得1分；如未能提供培训方案或缺少内容的，本项及以下评分项“培训方案②”均不得分。</w:t>
            </w:r>
          </w:p>
        </w:tc>
      </w:tr>
      <w:tr>
        <w:tc>
          <w:tcPr>
            <w:tcW w:type="dxa" w:w="922"/>
            <w:gridSpan w:val="2"/>
            <w:vMerge/>
          </w:tcPr>
          <w:p/>
        </w:tc>
        <w:tc>
          <w:tcPr>
            <w:tcW w:type="dxa" w:w="2307"/>
          </w:tcPr>
          <w:p>
            <w:pPr>
              <w:pStyle w:val="null3"/>
              <w:jc w:val="left"/>
            </w:pPr>
            <w:r>
              <w:rPr/>
              <w:t>培训方案② (5.0分)</w:t>
            </w:r>
          </w:p>
        </w:tc>
        <w:tc>
          <w:tcPr>
            <w:tcW w:type="dxa" w:w="5076"/>
          </w:tcPr>
          <w:p>
            <w:pPr>
              <w:pStyle w:val="null3"/>
              <w:jc w:val="left"/>
            </w:pPr>
            <w:r>
              <w:rPr/>
              <w:t>根据投标人提供的培训方案进行评审： 培训方案符合项目需要，培训内容丰富，培训人员安排及培训实施计划合理，宣传推广方案详细具体，得5分； 有提供培训方案，培训内容多样，培训人员安排及培训实施计划较合理，宣传推广方案完整，得3分； 有提供培训方案，但内容较为简单，得1分； 有培训方案，但方案不合理，得0分。</w:t>
            </w:r>
          </w:p>
        </w:tc>
      </w:tr>
      <w:tr>
        <w:tc>
          <w:tcPr>
            <w:tcW w:type="dxa" w:w="922"/>
            <w:gridSpan w:val="2"/>
            <w:vMerge/>
          </w:tcPr>
          <w:p/>
        </w:tc>
        <w:tc>
          <w:tcPr>
            <w:tcW w:type="dxa" w:w="2307"/>
          </w:tcPr>
          <w:p>
            <w:pPr>
              <w:pStyle w:val="null3"/>
              <w:jc w:val="left"/>
            </w:pPr>
            <w:r>
              <w:rPr/>
              <w:t>应急响应方案① (1.0分)</w:t>
            </w:r>
          </w:p>
        </w:tc>
        <w:tc>
          <w:tcPr>
            <w:tcW w:type="dxa" w:w="5076"/>
          </w:tcPr>
          <w:p>
            <w:pPr>
              <w:pStyle w:val="null3"/>
              <w:jc w:val="left"/>
            </w:pPr>
            <w:r>
              <w:rPr/>
              <w:t>根据投标人响应本项目的应急响应方案进行评审：能提供针对本项目的应急响应方案，包括①响应时间、②服务机构设置，得1分；如未能提供应急响应方案或缺少内容的，本项及以下评分项“应急响应方案②”均不得分。</w:t>
            </w:r>
          </w:p>
        </w:tc>
      </w:tr>
      <w:tr>
        <w:tc>
          <w:tcPr>
            <w:tcW w:type="dxa" w:w="922"/>
            <w:gridSpan w:val="2"/>
            <w:vMerge/>
          </w:tcPr>
          <w:p/>
        </w:tc>
        <w:tc>
          <w:tcPr>
            <w:tcW w:type="dxa" w:w="2307"/>
          </w:tcPr>
          <w:p>
            <w:pPr>
              <w:pStyle w:val="null3"/>
              <w:jc w:val="left"/>
            </w:pPr>
            <w:r>
              <w:rPr/>
              <w:t>应急响应方案② (5.0分)</w:t>
            </w:r>
          </w:p>
        </w:tc>
        <w:tc>
          <w:tcPr>
            <w:tcW w:type="dxa" w:w="5076"/>
          </w:tcPr>
          <w:p>
            <w:pPr>
              <w:pStyle w:val="null3"/>
              <w:jc w:val="left"/>
            </w:pPr>
            <w:r>
              <w:rPr/>
              <w:t>根据投标人提供的应急响应方案进行评审： 响应时间优于采购需求，能提供服务机构设置证明材料，服务便捷性高得5分； 响应时间满足采购需求，能提供服务机构设置证明材料，有一定的服务便捷性得3分； 响应时间满足采购需求，不能提供服务机构设置证明材料得1分； 响应时间不满足采购需求，得0分。</w:t>
            </w:r>
          </w:p>
        </w:tc>
      </w:tr>
      <w:tr>
        <w:tc>
          <w:tcPr>
            <w:tcW w:type="dxa" w:w="922"/>
            <w:gridSpan w:val="2"/>
            <w:vMerge/>
          </w:tcPr>
          <w:p/>
        </w:tc>
        <w:tc>
          <w:tcPr>
            <w:tcW w:type="dxa" w:w="2307"/>
          </w:tcPr>
          <w:p>
            <w:pPr>
              <w:pStyle w:val="null3"/>
              <w:jc w:val="left"/>
            </w:pPr>
            <w:r>
              <w:rPr/>
              <w:t>服务案例 (4.0分)</w:t>
            </w:r>
          </w:p>
        </w:tc>
        <w:tc>
          <w:tcPr>
            <w:tcW w:type="dxa" w:w="5076"/>
          </w:tcPr>
          <w:p>
            <w:pPr>
              <w:pStyle w:val="null3"/>
              <w:jc w:val="left"/>
            </w:pPr>
            <w:r>
              <w:rPr/>
              <w:t>提供常规应急响应案例和个性化服务案例： 1、常规应急响应案例：故障反应和解决案例，提供与用户沟通故障反应、及时和妥善解决的全过程的邮件或其他通讯工具截图打印页，每提供一个案例得1分，最高得2分； 2、个性化服务案例：包括结合投标人优势资源，组织的数据库采购的相关培训、宣传推广活动等以往案例；须列出服务内容、组织方式、参与对象范围、开展的时间和地点等，每提供一个案例得0.5分，最高2分。 本项累计最高得4分，提供相关案例证明材料，否则不得分。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(10.0分)</w:t>
            </w:r>
          </w:p>
        </w:tc>
        <w:tc>
          <w:tcPr>
            <w:tcW w:type="dxa" w:w="5076"/>
          </w:tcPr>
          <w:p>
            <w:pPr>
              <w:pStyle w:val="null3"/>
              <w:jc w:val="left"/>
            </w:pPr>
            <w:r>
              <w:rPr/>
              <w:t>根据投标人2022年1月1日至今（以合同签订时间为准）同类业绩（合同需包含各采购包中任一数据库采购合同），每提供一个项目业绩得2分，最高得10分。 注：提供合同关键页（含签订合同双方的单位名称、合同项目名称、签订合同双方的落款盖章、签订日期的关键页）复印件并加盖投标人公章，否则不得分。</w:t>
            </w:r>
          </w:p>
        </w:tc>
      </w:tr>
      <w:tr>
        <w:tc>
          <w:tcPr>
            <w:tcW w:type="dxa" w:w="922"/>
            <w:gridSpan w:val="2"/>
            <w:vMerge/>
          </w:tcPr>
          <w:p/>
        </w:tc>
        <w:tc>
          <w:tcPr>
            <w:tcW w:type="dxa" w:w="2307"/>
          </w:tcPr>
          <w:p>
            <w:pPr>
              <w:pStyle w:val="null3"/>
              <w:jc w:val="left"/>
            </w:pPr>
            <w:r>
              <w:rPr/>
              <w:t>客户评价情况 (10.0分)</w:t>
            </w:r>
          </w:p>
        </w:tc>
        <w:tc>
          <w:tcPr>
            <w:tcW w:type="dxa" w:w="5076"/>
          </w:tcPr>
          <w:p>
            <w:pPr>
              <w:pStyle w:val="null3"/>
              <w:jc w:val="left"/>
            </w:pPr>
            <w:r>
              <w:rPr/>
              <w:t>投标人提供上述被认定为有效业绩的用户单位出具的用户评价材料，每提供一项用户单位正面评价（如满意、优秀或相当于满意、优秀的评价）的，得2分，本项最高得10分。 注：提供用户评价证明材料并须体现用户单位印章，否则不得分；单个用户单位提供多项用户服务评价的，按一项计算得分。</w:t>
            </w:r>
          </w:p>
        </w:tc>
      </w:tr>
      <w:tr>
        <w:tc>
          <w:tcPr>
            <w:tcW w:type="dxa" w:w="922"/>
            <w:gridSpan w:val="2"/>
          </w:tcPr>
          <w:p>
            <w:pPr>
              <w:pStyle w:val="null3"/>
              <w:jc w:val="center"/>
            </w:pPr>
            <w:r>
              <w:rPr/>
              <w:t>投标报价</w:t>
            </w:r>
          </w:p>
        </w:tc>
        <w:tc>
          <w:tcPr>
            <w:tcW w:type="dxa" w:w="2307"/>
          </w:tcPr>
          <w:p>
            <w:pPr>
              <w:pStyle w:val="null3"/>
              <w:jc w:val="left"/>
            </w:pPr>
            <w:r>
              <w:rPr/>
              <w:t>投标报价得分 (60.0分)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华南农业大学</w:t>
      </w:r>
      <w:r>
        <w:rPr>
          <w:sz w:val="21"/>
        </w:rPr>
        <w:t xml:space="preserve">      </w:t>
      </w:r>
      <w:r>
        <w:rPr>
          <w:sz w:val="28"/>
          <w:b/>
        </w:rPr>
        <w:t>年</w:t>
      </w:r>
      <w:r>
        <w:rPr>
          <w:sz w:val="21"/>
        </w:rPr>
        <w:t xml:space="preserve">       </w:t>
      </w:r>
      <w:r>
        <w:rPr>
          <w:sz w:val="28"/>
          <w:b/>
        </w:rPr>
        <w:t>数据库订购协议</w:t>
      </w:r>
    </w:p>
    <w:p>
      <w:pPr>
        <w:pStyle w:val="null3"/>
        <w:jc w:val="both"/>
      </w:pPr>
      <w:r>
        <w:rPr>
          <w:sz w:val="24"/>
          <w:b/>
        </w:rPr>
        <w:t>甲</w:t>
      </w:r>
      <w:r>
        <w:rPr>
          <w:sz w:val="24"/>
          <w:b/>
        </w:rPr>
        <w:t xml:space="preserve">    </w:t>
      </w:r>
      <w:r>
        <w:rPr>
          <w:sz w:val="24"/>
          <w:b/>
        </w:rPr>
        <w:t>方：华南农业大学</w:t>
      </w:r>
    </w:p>
    <w:p>
      <w:pPr>
        <w:pStyle w:val="null3"/>
        <w:jc w:val="both"/>
      </w:pPr>
      <w:r>
        <w:rPr>
          <w:sz w:val="24"/>
          <w:b/>
        </w:rPr>
        <w:t>法定代表人：</w:t>
      </w:r>
      <w:r>
        <w:rPr>
          <w:sz w:val="24"/>
          <w:b/>
        </w:rPr>
        <w:t xml:space="preserve">   </w:t>
      </w:r>
      <w:r>
        <w:rPr>
          <w:sz w:val="21"/>
        </w:rPr>
        <w:t xml:space="preserve"> </w:t>
      </w:r>
      <w:r>
        <w:rPr>
          <w:sz w:val="21"/>
          <w:b/>
        </w:rPr>
        <w:t xml:space="preserve">   </w:t>
      </w:r>
    </w:p>
    <w:p>
      <w:pPr>
        <w:pStyle w:val="null3"/>
        <w:jc w:val="both"/>
      </w:pPr>
      <w:r>
        <w:rPr>
          <w:sz w:val="24"/>
          <w:b/>
        </w:rPr>
        <w:t>通讯地址：</w:t>
      </w:r>
      <w:r>
        <w:rPr>
          <w:sz w:val="24"/>
          <w:b/>
        </w:rPr>
        <w:t xml:space="preserve">  </w:t>
      </w:r>
      <w:r>
        <w:rPr>
          <w:sz w:val="21"/>
        </w:rPr>
        <w:t>广州市天河区五山路</w:t>
      </w:r>
      <w:r>
        <w:rPr>
          <w:sz w:val="21"/>
        </w:rPr>
        <w:t>483</w:t>
      </w:r>
      <w:r>
        <w:rPr>
          <w:sz w:val="21"/>
        </w:rPr>
        <w:t>号</w:t>
      </w:r>
      <w:r>
        <w:rPr>
          <w:sz w:val="21"/>
          <w:b/>
        </w:rPr>
        <w:t xml:space="preserve">    </w:t>
      </w:r>
    </w:p>
    <w:p>
      <w:pPr>
        <w:pStyle w:val="null3"/>
        <w:jc w:val="both"/>
      </w:pPr>
      <w:r>
        <w:rPr>
          <w:sz w:val="24"/>
          <w:b/>
        </w:rPr>
        <w:t>电子邮箱：</w:t>
      </w:r>
      <w:r>
        <w:rPr>
          <w:sz w:val="24"/>
          <w:b/>
        </w:rPr>
        <w:t xml:space="preserve">  </w:t>
      </w:r>
      <w:r>
        <w:rPr>
          <w:sz w:val="21"/>
        </w:rPr>
        <w:t>lixiao@scau.edu.cn</w:t>
      </w:r>
      <w:r>
        <w:rPr>
          <w:sz w:val="21"/>
          <w:b/>
        </w:rPr>
        <w:t xml:space="preserve">   </w:t>
      </w:r>
    </w:p>
    <w:p>
      <w:pPr>
        <w:pStyle w:val="null3"/>
        <w:jc w:val="both"/>
      </w:pPr>
      <w:r>
        <w:rPr>
          <w:sz w:val="24"/>
          <w:b/>
        </w:rPr>
        <w:t>电话：</w:t>
      </w:r>
      <w:r>
        <w:rPr>
          <w:sz w:val="21"/>
        </w:rPr>
        <w:t xml:space="preserve"> </w:t>
      </w:r>
      <w:r>
        <w:rPr>
          <w:sz w:val="21"/>
          <w:b/>
        </w:rPr>
        <w:t xml:space="preserve">  </w:t>
      </w:r>
    </w:p>
    <w:p>
      <w:pPr>
        <w:pStyle w:val="null3"/>
        <w:jc w:val="both"/>
      </w:pPr>
      <w:r>
        <w:rPr>
          <w:sz w:val="24"/>
          <w:b/>
        </w:rPr>
        <w:t>乙</w:t>
      </w:r>
      <w:r>
        <w:rPr>
          <w:sz w:val="24"/>
          <w:b/>
        </w:rPr>
        <w:t xml:space="preserve">    </w:t>
      </w:r>
      <w:r>
        <w:rPr>
          <w:sz w:val="24"/>
          <w:b/>
        </w:rPr>
        <w:t>方：</w:t>
      </w:r>
      <w:r>
        <w:rPr>
          <w:sz w:val="24"/>
          <w:b/>
        </w:rPr>
        <w:t xml:space="preserve">     </w:t>
      </w:r>
    </w:p>
    <w:p>
      <w:pPr>
        <w:pStyle w:val="null3"/>
        <w:jc w:val="both"/>
      </w:pPr>
      <w:r>
        <w:rPr>
          <w:sz w:val="24"/>
          <w:b/>
        </w:rPr>
        <w:t>法定代表人：</w:t>
      </w:r>
      <w:r>
        <w:rPr>
          <w:sz w:val="24"/>
          <w:b/>
        </w:rPr>
        <w:t xml:space="preserve">     </w:t>
      </w:r>
    </w:p>
    <w:p>
      <w:pPr>
        <w:pStyle w:val="null3"/>
        <w:jc w:val="both"/>
      </w:pPr>
      <w:r>
        <w:rPr>
          <w:sz w:val="24"/>
          <w:b/>
        </w:rPr>
        <w:t>通讯地址：</w:t>
      </w:r>
      <w:r>
        <w:rPr>
          <w:sz w:val="24"/>
          <w:b/>
        </w:rPr>
        <w:t xml:space="preserve">      </w:t>
      </w:r>
    </w:p>
    <w:p>
      <w:pPr>
        <w:pStyle w:val="null3"/>
        <w:jc w:val="both"/>
      </w:pPr>
      <w:r>
        <w:rPr>
          <w:sz w:val="24"/>
          <w:b/>
        </w:rPr>
        <w:t>电子邮箱：</w:t>
      </w:r>
      <w:r>
        <w:rPr>
          <w:sz w:val="24"/>
          <w:b/>
        </w:rPr>
        <w:t xml:space="preserve">      </w:t>
      </w:r>
    </w:p>
    <w:p>
      <w:pPr>
        <w:pStyle w:val="null3"/>
        <w:jc w:val="both"/>
      </w:pPr>
      <w:r>
        <w:rPr>
          <w:sz w:val="24"/>
          <w:b/>
        </w:rPr>
        <w:t>电话：</w:t>
      </w:r>
      <w:r>
        <w:rPr>
          <w:sz w:val="24"/>
          <w:b/>
        </w:rPr>
        <w:t xml:space="preserve">                  </w:t>
      </w:r>
    </w:p>
    <w:p>
      <w:pPr>
        <w:pStyle w:val="null3"/>
        <w:jc w:val="both"/>
      </w:pPr>
      <w:r>
        <w:rPr>
          <w:sz w:val="24"/>
        </w:rPr>
        <w:t>项目名称：</w:t>
      </w:r>
      <w:r>
        <w:rPr>
          <w:sz w:val="24"/>
        </w:rPr>
        <w:t xml:space="preserve">    </w:t>
      </w:r>
    </w:p>
    <w:p>
      <w:pPr>
        <w:pStyle w:val="null3"/>
        <w:jc w:val="both"/>
      </w:pPr>
      <w:r>
        <w:rPr>
          <w:sz w:val="24"/>
        </w:rPr>
        <w:t>项目编号：</w:t>
      </w:r>
      <w:r>
        <w:rPr>
          <w:sz w:val="24"/>
        </w:rPr>
        <w:t xml:space="preserve">      </w:t>
      </w:r>
    </w:p>
    <w:p>
      <w:pPr>
        <w:pStyle w:val="null3"/>
        <w:jc w:val="both"/>
      </w:pPr>
      <w:r>
        <w:rPr>
          <w:sz w:val="24"/>
        </w:rPr>
        <w:t>根据《中华人民共和国政府采购法》、《中华人民共和国民法典》及</w:t>
      </w:r>
      <w:r>
        <w:rPr>
          <w:sz w:val="21"/>
        </w:rPr>
        <w:t xml:space="preserve">     </w:t>
      </w:r>
      <w:r>
        <w:rPr>
          <w:sz w:val="24"/>
        </w:rPr>
        <w:t>年</w:t>
      </w:r>
      <w:r>
        <w:rPr>
          <w:sz w:val="21"/>
        </w:rPr>
        <w:t xml:space="preserve">   </w:t>
      </w:r>
      <w:r>
        <w:rPr>
          <w:sz w:val="24"/>
        </w:rPr>
        <w:t>月</w:t>
      </w:r>
      <w:r>
        <w:rPr>
          <w:sz w:val="21"/>
        </w:rPr>
        <w:t xml:space="preserve">  </w:t>
      </w:r>
      <w:r>
        <w:rPr>
          <w:sz w:val="24"/>
        </w:rPr>
        <w:t>日采购文件（委托编号：</w:t>
      </w:r>
      <w:r>
        <w:rPr>
          <w:sz w:val="24"/>
        </w:rPr>
        <w:t xml:space="preserve">  </w:t>
      </w:r>
      <w:r>
        <w:rPr>
          <w:sz w:val="24"/>
        </w:rPr>
        <w:t>项目编号：</w:t>
      </w:r>
      <w:r>
        <w:rPr>
          <w:sz w:val="24"/>
        </w:rPr>
        <w:t xml:space="preserve">  </w:t>
      </w:r>
      <w:r>
        <w:rPr>
          <w:sz w:val="24"/>
        </w:rPr>
        <w:t>，采购代理机构：</w:t>
      </w:r>
      <w:r>
        <w:rPr>
          <w:sz w:val="24"/>
        </w:rPr>
        <w:t xml:space="preserve">   </w:t>
      </w:r>
      <w:r>
        <w:rPr>
          <w:sz w:val="24"/>
        </w:rPr>
        <w:t>）、响应文件的要求，经双方协商一致，签订本合同。</w:t>
      </w:r>
    </w:p>
    <w:p>
      <w:pPr>
        <w:pStyle w:val="null3"/>
        <w:ind w:left="960"/>
        <w:jc w:val="both"/>
      </w:pPr>
      <w:r>
        <w:rPr>
          <w:sz w:val="24"/>
          <w:b/>
        </w:rPr>
        <w:t>一、</w:t>
      </w:r>
      <w:r>
        <w:rPr>
          <w:sz w:val="24"/>
          <w:b/>
        </w:rPr>
        <w:t>采购内容</w:t>
      </w:r>
      <w:r>
        <w:rPr>
          <w:sz w:val="24"/>
          <w:b/>
        </w:rPr>
        <w:t xml:space="preserve">      </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81"/>
        <w:gridCol w:w="1149"/>
        <w:gridCol w:w="2908"/>
        <w:gridCol w:w="649"/>
        <w:gridCol w:w="771"/>
        <w:gridCol w:w="1068"/>
        <w:gridCol w:w="1149"/>
      </w:tblGrid>
      <w:tr>
        <w:tc>
          <w:tcPr>
            <w:tcW w:type="dxa" w:w="58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sz w:val="24"/>
              </w:rPr>
              <w:t>序号</w:t>
            </w:r>
          </w:p>
        </w:tc>
        <w:tc>
          <w:tcPr>
            <w:tcW w:type="dxa" w:w="114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商品名称</w:t>
            </w:r>
          </w:p>
        </w:tc>
        <w:tc>
          <w:tcPr>
            <w:tcW w:type="dxa" w:w="290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品牌、规格型号、配置</w:t>
            </w:r>
          </w:p>
          <w:p>
            <w:pPr>
              <w:pStyle w:val="null3"/>
              <w:jc w:val="both"/>
            </w:pPr>
            <w:r>
              <w:rPr>
                <w:sz w:val="24"/>
              </w:rPr>
              <w:t>（性能参数）</w:t>
            </w:r>
          </w:p>
        </w:tc>
        <w:tc>
          <w:tcPr>
            <w:tcW w:type="dxa" w:w="64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产地</w:t>
            </w:r>
          </w:p>
        </w:tc>
        <w:tc>
          <w:tcPr>
            <w:tcW w:type="dxa" w:w="77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数量</w:t>
            </w:r>
          </w:p>
        </w:tc>
        <w:tc>
          <w:tcPr>
            <w:tcW w:type="dxa" w:w="106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单价</w:t>
            </w:r>
            <w:r>
              <w:rPr>
                <w:sz w:val="24"/>
              </w:rPr>
              <w:t>(</w:t>
            </w:r>
            <w:r>
              <w:rPr>
                <w:sz w:val="24"/>
              </w:rPr>
              <w:t>元</w:t>
            </w:r>
            <w:r>
              <w:rPr>
                <w:sz w:val="24"/>
              </w:rPr>
              <w:t>)</w:t>
            </w:r>
          </w:p>
        </w:tc>
        <w:tc>
          <w:tcPr>
            <w:tcW w:type="dxa" w:w="1149"/>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4"/>
              </w:rPr>
              <w:t>金额</w:t>
            </w:r>
            <w:r>
              <w:rPr>
                <w:sz w:val="24"/>
              </w:rPr>
              <w:t>(</w:t>
            </w:r>
            <w:r>
              <w:rPr>
                <w:sz w:val="24"/>
              </w:rPr>
              <w:t>元</w:t>
            </w:r>
            <w:r>
              <w:rPr>
                <w:sz w:val="24"/>
              </w:rPr>
              <w:t>)</w:t>
            </w:r>
          </w:p>
        </w:tc>
      </w:tr>
      <w:tr>
        <w:tc>
          <w:tcPr>
            <w:tcW w:type="dxa" w:w="58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p>
        </w:tc>
        <w:tc>
          <w:tcPr>
            <w:tcW w:type="dxa" w:w="1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8275"/>
            <w:gridSpan w:val="7"/>
            <w:tcBorders>
              <w:top w:val="singl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4"/>
              </w:rPr>
              <w:t>合计总额：￥</w:t>
            </w:r>
            <w:r>
              <w:rPr>
                <w:sz w:val="24"/>
              </w:rPr>
              <w:t xml:space="preserve">   </w:t>
            </w:r>
            <w:r>
              <w:rPr>
                <w:sz w:val="24"/>
              </w:rPr>
              <w:t>；</w:t>
            </w:r>
            <w:r>
              <w:rPr>
                <w:sz w:val="24"/>
              </w:rPr>
              <w:t xml:space="preserve">    </w:t>
            </w:r>
            <w:r>
              <w:rPr>
                <w:sz w:val="24"/>
              </w:rPr>
              <w:t>大写：</w:t>
            </w:r>
            <w:r>
              <w:rPr>
                <w:sz w:val="24"/>
              </w:rPr>
              <w:t>人民币</w:t>
            </w:r>
            <w:r>
              <w:rPr>
                <w:sz w:val="24"/>
              </w:rPr>
              <w:t xml:space="preserve">  </w:t>
            </w:r>
            <w:r>
              <w:rPr>
                <w:sz w:val="21"/>
                <w:b/>
              </w:rPr>
              <w:t xml:space="preserve">   </w:t>
            </w:r>
            <w:r>
              <w:rPr>
                <w:sz w:val="24"/>
              </w:rPr>
              <w:t>元整</w:t>
            </w:r>
          </w:p>
        </w:tc>
      </w:tr>
    </w:tbl>
    <w:p>
      <w:pPr>
        <w:pStyle w:val="null3"/>
        <w:jc w:val="both"/>
      </w:pPr>
      <w:r>
        <w:rPr>
          <w:sz w:val="24"/>
        </w:rPr>
        <w:t>合同总额包括乙方设计、安装、随机零配件、标配工具、运输保险、调试、培训、合同期内服务、各项税费及合同实施过程中不可预见费用等与完成该项目相关的一切费用。上述费用已经包含甲方须向乙方支付的所有费用，除双方另有约定外，甲方无需再支付其他款项。</w:t>
      </w:r>
    </w:p>
    <w:p>
      <w:pPr>
        <w:pStyle w:val="null3"/>
        <w:jc w:val="both"/>
      </w:pPr>
      <w:r>
        <w:rPr>
          <w:sz w:val="24"/>
        </w:rPr>
        <w:t>注：采购内容必须与采购文件中采购内容一致。</w:t>
      </w:r>
    </w:p>
    <w:p>
      <w:pPr>
        <w:pStyle w:val="null3"/>
        <w:ind w:left="960"/>
        <w:jc w:val="both"/>
      </w:pPr>
      <w:r>
        <w:rPr>
          <w:sz w:val="24"/>
          <w:b/>
        </w:rPr>
        <w:t>二、</w:t>
      </w:r>
      <w:r>
        <w:rPr>
          <w:sz w:val="24"/>
          <w:b/>
        </w:rPr>
        <w:t>合同金额</w:t>
      </w:r>
    </w:p>
    <w:p>
      <w:pPr>
        <w:pStyle w:val="null3"/>
        <w:jc w:val="both"/>
      </w:pPr>
      <w:r>
        <w:rPr>
          <w:sz w:val="24"/>
        </w:rPr>
        <w:t>合同金额为（大写）：</w:t>
      </w:r>
      <w:r>
        <w:rPr>
          <w:sz w:val="24"/>
        </w:rPr>
        <w:t xml:space="preserve">    </w:t>
      </w:r>
      <w:r>
        <w:rPr>
          <w:sz w:val="24"/>
        </w:rPr>
        <w:t>元整（￥</w:t>
      </w:r>
      <w:r>
        <w:rPr>
          <w:sz w:val="24"/>
        </w:rPr>
        <w:t xml:space="preserve">   </w:t>
      </w:r>
      <w:r>
        <w:rPr>
          <w:sz w:val="24"/>
        </w:rPr>
        <w:t>）。</w:t>
      </w:r>
    </w:p>
    <w:p>
      <w:pPr>
        <w:pStyle w:val="null3"/>
        <w:ind w:left="960"/>
        <w:jc w:val="both"/>
      </w:pPr>
      <w:r>
        <w:rPr>
          <w:sz w:val="24"/>
          <w:b/>
        </w:rPr>
        <w:t>三、</w:t>
      </w:r>
      <w:r>
        <w:rPr>
          <w:sz w:val="24"/>
          <w:b/>
        </w:rPr>
        <w:t>数据库要求</w:t>
      </w:r>
    </w:p>
    <w:p>
      <w:pPr>
        <w:pStyle w:val="null3"/>
        <w:jc w:val="both"/>
      </w:pPr>
      <w:r>
        <w:rPr>
          <w:sz w:val="21"/>
        </w:rPr>
        <w:t xml:space="preserve">    </w:t>
      </w:r>
    </w:p>
    <w:p>
      <w:pPr>
        <w:pStyle w:val="null3"/>
        <w:ind w:left="960"/>
        <w:jc w:val="both"/>
      </w:pPr>
      <w:r>
        <w:rPr>
          <w:sz w:val="24"/>
          <w:b/>
        </w:rPr>
        <w:t>四、</w:t>
      </w:r>
      <w:r>
        <w:rPr>
          <w:sz w:val="24"/>
          <w:b/>
        </w:rPr>
        <w:t>交付期、交付方式及交付地点</w:t>
      </w:r>
    </w:p>
    <w:p>
      <w:pPr>
        <w:pStyle w:val="null3"/>
        <w:ind w:left="420"/>
        <w:jc w:val="both"/>
      </w:pPr>
      <w:r>
        <w:rPr>
          <w:sz w:val="24"/>
        </w:rPr>
        <w:t>1.</w:t>
      </w:r>
      <w:r>
        <w:rPr>
          <w:sz w:val="24"/>
        </w:rPr>
        <w:t>交付期：自合同签订并且生效之日起</w:t>
      </w:r>
      <w:r>
        <w:rPr>
          <w:sz w:val="24"/>
        </w:rPr>
        <w:t xml:space="preserve">   </w:t>
      </w:r>
      <w:r>
        <w:rPr>
          <w:sz w:val="24"/>
        </w:rPr>
        <w:t>日历天内</w:t>
      </w:r>
    </w:p>
    <w:p>
      <w:pPr>
        <w:pStyle w:val="null3"/>
        <w:ind w:left="420"/>
        <w:jc w:val="both"/>
      </w:pPr>
      <w:r>
        <w:rPr>
          <w:sz w:val="24"/>
        </w:rPr>
        <w:t>2.</w:t>
      </w:r>
      <w:r>
        <w:rPr>
          <w:sz w:val="24"/>
        </w:rPr>
        <w:t>交付方式：</w:t>
      </w:r>
      <w:r>
        <w:rPr>
          <w:sz w:val="24"/>
        </w:rPr>
        <w:t xml:space="preserve">  </w:t>
      </w:r>
    </w:p>
    <w:p>
      <w:pPr>
        <w:pStyle w:val="null3"/>
        <w:ind w:left="420"/>
        <w:jc w:val="both"/>
      </w:pPr>
      <w:r>
        <w:rPr>
          <w:sz w:val="24"/>
        </w:rPr>
        <w:t>3.</w:t>
      </w:r>
      <w:r>
        <w:rPr>
          <w:sz w:val="24"/>
        </w:rPr>
        <w:t>交付地点：华南农业大学服务器或网络端口</w:t>
      </w:r>
    </w:p>
    <w:p>
      <w:pPr>
        <w:pStyle w:val="null3"/>
        <w:ind w:left="420"/>
        <w:jc w:val="both"/>
      </w:pPr>
      <w:r>
        <w:rPr>
          <w:sz w:val="24"/>
        </w:rPr>
        <w:t>4.</w:t>
      </w:r>
      <w:r>
        <w:rPr>
          <w:sz w:val="24"/>
        </w:rPr>
        <w:t>本协议书约定的</w:t>
      </w:r>
      <w:r>
        <w:rPr>
          <w:sz w:val="21"/>
        </w:rPr>
        <w:t xml:space="preserve">         </w:t>
      </w:r>
      <w:r>
        <w:rPr>
          <w:sz w:val="24"/>
        </w:rPr>
        <w:t>数据库全部进入华南农业大学服务器或网络端口后，甲方签署书面验收文件后，乙方交付义务完毕。</w:t>
      </w:r>
    </w:p>
    <w:p>
      <w:pPr>
        <w:pStyle w:val="null3"/>
        <w:ind w:left="960"/>
        <w:jc w:val="both"/>
      </w:pPr>
      <w:r>
        <w:rPr>
          <w:sz w:val="24"/>
          <w:b/>
        </w:rPr>
        <w:t>五、</w:t>
      </w:r>
      <w:r>
        <w:rPr>
          <w:sz w:val="24"/>
          <w:b/>
        </w:rPr>
        <w:t>付款方式</w:t>
      </w:r>
    </w:p>
    <w:p>
      <w:pPr>
        <w:pStyle w:val="null3"/>
        <w:jc w:val="both"/>
      </w:pPr>
      <w:r>
        <w:rPr>
          <w:sz w:val="24"/>
        </w:rPr>
        <w:t>数据库开通正常使用且合同正式签订生效后，在乙方无违法违约的情况下，甲方在收到乙方开具的等额合法发票后十天内支付全部货款。如因乙方未能及时提供前述发票而造成付款延误，不属甲方违约。乙方帐号如下</w:t>
      </w:r>
      <w:r>
        <w:rPr>
          <w:sz w:val="24"/>
        </w:rPr>
        <w:t>:</w:t>
      </w:r>
    </w:p>
    <w:p>
      <w:pPr>
        <w:pStyle w:val="null3"/>
        <w:jc w:val="both"/>
      </w:pPr>
      <w:r>
        <w:rPr>
          <w:sz w:val="24"/>
        </w:rPr>
        <w:t>户名：</w:t>
      </w:r>
      <w:r>
        <w:rPr>
          <w:sz w:val="21"/>
          <w:b/>
        </w:rPr>
        <w:t xml:space="preserve">     </w:t>
      </w:r>
      <w:r>
        <w:rPr>
          <w:sz w:val="21"/>
        </w:rPr>
        <w:t xml:space="preserve">   </w:t>
      </w:r>
    </w:p>
    <w:p>
      <w:pPr>
        <w:pStyle w:val="null3"/>
        <w:jc w:val="both"/>
      </w:pPr>
      <w:r>
        <w:rPr>
          <w:sz w:val="24"/>
        </w:rPr>
        <w:t>开户行：</w:t>
      </w:r>
      <w:r>
        <w:rPr>
          <w:sz w:val="21"/>
          <w:b/>
        </w:rPr>
        <w:t xml:space="preserve">        </w:t>
      </w:r>
      <w:r>
        <w:rPr>
          <w:sz w:val="24"/>
        </w:rPr>
        <w:t xml:space="preserve"> </w:t>
      </w:r>
      <w:r>
        <w:rPr>
          <w:sz w:val="24"/>
        </w:rPr>
        <w:t>(</w:t>
      </w:r>
      <w:r>
        <w:rPr>
          <w:sz w:val="24"/>
        </w:rPr>
        <w:t xml:space="preserve">行号：  </w:t>
      </w:r>
      <w:r>
        <w:rPr>
          <w:sz w:val="24"/>
        </w:rPr>
        <w:t>)</w:t>
      </w:r>
    </w:p>
    <w:p>
      <w:pPr>
        <w:pStyle w:val="null3"/>
        <w:jc w:val="both"/>
      </w:pPr>
      <w:r>
        <w:rPr>
          <w:sz w:val="24"/>
        </w:rPr>
        <w:t>帐号：</w:t>
      </w:r>
      <w:r>
        <w:rPr>
          <w:sz w:val="24"/>
        </w:rPr>
        <w:t xml:space="preserve">     </w:t>
      </w:r>
    </w:p>
    <w:p>
      <w:pPr>
        <w:pStyle w:val="null3"/>
        <w:jc w:val="both"/>
      </w:pPr>
      <w:r>
        <w:rPr>
          <w:sz w:val="24"/>
        </w:rPr>
        <w:t>款项（必须在备注栏中注明）</w:t>
      </w:r>
      <w:r>
        <w:rPr>
          <w:sz w:val="24"/>
        </w:rPr>
        <w:t xml:space="preserve">      </w:t>
      </w:r>
      <w:r>
        <w:rPr>
          <w:sz w:val="24"/>
        </w:rPr>
        <w:t>数据库</w:t>
      </w:r>
    </w:p>
    <w:p>
      <w:pPr>
        <w:pStyle w:val="null3"/>
        <w:jc w:val="both"/>
      </w:pPr>
      <w:r>
        <w:rPr>
          <w:sz w:val="24"/>
        </w:rPr>
        <w:t>甲方向上述账户汇出款项即为已经向乙方履行合同约定的付款义务，如因乙方账户的原因（包括但不限于被查封、冻结、注销等）导致乙方未能收到款项的，责任由乙方自行承担。甲方有权在应付款项中直接扣除乙方的违约金或赔偿等</w:t>
      </w:r>
      <w:r>
        <w:rPr>
          <w:sz w:val="24"/>
        </w:rPr>
        <w:t>。</w:t>
      </w:r>
    </w:p>
    <w:p>
      <w:pPr>
        <w:pStyle w:val="null3"/>
        <w:ind w:left="960"/>
        <w:jc w:val="both"/>
      </w:pPr>
      <w:r>
        <w:rPr>
          <w:sz w:val="24"/>
          <w:b/>
        </w:rPr>
        <w:t>六、</w:t>
      </w:r>
      <w:r>
        <w:rPr>
          <w:sz w:val="24"/>
          <w:b/>
        </w:rPr>
        <w:t>售后服务要求</w:t>
      </w:r>
    </w:p>
    <w:p>
      <w:pPr>
        <w:pStyle w:val="null3"/>
        <w:ind w:left="420"/>
        <w:jc w:val="both"/>
      </w:pPr>
      <w:r>
        <w:rPr>
          <w:sz w:val="24"/>
        </w:rPr>
        <w:t>1.</w:t>
      </w:r>
      <w:r>
        <w:rPr>
          <w:sz w:val="24"/>
        </w:rPr>
        <w:t>版权保证及承诺责任</w:t>
      </w:r>
      <w:r>
        <w:rPr>
          <w:sz w:val="24"/>
        </w:rPr>
        <w:t xml:space="preserve">: </w:t>
      </w:r>
      <w:r>
        <w:rPr>
          <w:sz w:val="24"/>
        </w:rPr>
        <w:t>乙方已妥善解决好该资源所有的版权等相关知识产权问题。如在甲方合理使用过程中因版权等相关知识产权问题引起法律纠纷，乙方承担所有责任并消除所有不良影响。</w:t>
      </w:r>
    </w:p>
    <w:p>
      <w:pPr>
        <w:pStyle w:val="null3"/>
        <w:ind w:left="420"/>
        <w:jc w:val="both"/>
      </w:pPr>
      <w:r>
        <w:rPr>
          <w:sz w:val="24"/>
        </w:rPr>
        <w:t>2.</w:t>
      </w:r>
      <w:r>
        <w:rPr>
          <w:sz w:val="24"/>
        </w:rPr>
        <w:t>访问服务承诺：故障反应时间不超过</w:t>
      </w:r>
      <w:r>
        <w:rPr>
          <w:sz w:val="24"/>
        </w:rPr>
        <w:t xml:space="preserve">6 </w:t>
      </w:r>
      <w:r>
        <w:rPr>
          <w:sz w:val="24"/>
        </w:rPr>
        <w:t>小时，故障解决时间不超过</w:t>
      </w:r>
      <w:r>
        <w:rPr>
          <w:sz w:val="24"/>
        </w:rPr>
        <w:t>24</w:t>
      </w:r>
      <w:r>
        <w:rPr>
          <w:sz w:val="24"/>
        </w:rPr>
        <w:t>小时。乙方不能按时响应并解决故障的，乙方应当赔偿甲方因迟延解决故障造成的损失。乙方连续或者累计三次不能按时响应并解决故障的，甲方有权解除合同，并要求乙方退还甲方的已付款项，甲方还有权要求乙方赔偿甲方损失。</w:t>
      </w:r>
    </w:p>
    <w:p>
      <w:pPr>
        <w:pStyle w:val="null3"/>
        <w:ind w:left="420"/>
        <w:jc w:val="both"/>
      </w:pPr>
      <w:r>
        <w:rPr>
          <w:sz w:val="24"/>
        </w:rPr>
        <w:t>3.</w:t>
      </w:r>
      <w:r>
        <w:rPr>
          <w:sz w:val="24"/>
        </w:rPr>
        <w:t>乙方每年向甲方通报</w:t>
      </w:r>
      <w:r>
        <w:rPr>
          <w:sz w:val="24"/>
        </w:rPr>
        <w:t>2</w:t>
      </w:r>
      <w:r>
        <w:rPr>
          <w:sz w:val="24"/>
        </w:rPr>
        <w:t>次使用信息，每年</w:t>
      </w:r>
      <w:r>
        <w:rPr>
          <w:sz w:val="24"/>
        </w:rPr>
        <w:t>1</w:t>
      </w:r>
      <w:r>
        <w:rPr>
          <w:sz w:val="24"/>
        </w:rPr>
        <w:t>月向甲方提交上年度使用报表。</w:t>
      </w:r>
    </w:p>
    <w:p>
      <w:pPr>
        <w:pStyle w:val="null3"/>
        <w:ind w:left="960"/>
        <w:jc w:val="both"/>
      </w:pPr>
      <w:r>
        <w:rPr>
          <w:sz w:val="24"/>
          <w:b/>
        </w:rPr>
        <w:t>七、</w:t>
      </w:r>
      <w:r>
        <w:rPr>
          <w:sz w:val="24"/>
          <w:b/>
        </w:rPr>
        <w:t>安装与调试</w:t>
      </w:r>
    </w:p>
    <w:p>
      <w:pPr>
        <w:pStyle w:val="null3"/>
        <w:jc w:val="both"/>
      </w:pPr>
      <w:r>
        <w:rPr>
          <w:sz w:val="24"/>
        </w:rPr>
        <w:t>乙方必须依照采购文件的要求和响应文件的承诺，为甲方开通数据库网上访问权或安装镜像数据到甲方指定服务器，至甲方合法用户能正常登录并使用数据库资源。</w:t>
      </w:r>
    </w:p>
    <w:p>
      <w:pPr>
        <w:pStyle w:val="null3"/>
        <w:ind w:left="960"/>
        <w:jc w:val="both"/>
      </w:pPr>
      <w:r>
        <w:rPr>
          <w:sz w:val="24"/>
          <w:b/>
        </w:rPr>
        <w:t>八、</w:t>
      </w:r>
      <w:r>
        <w:rPr>
          <w:sz w:val="24"/>
          <w:b/>
        </w:rPr>
        <w:t>验收</w:t>
      </w:r>
    </w:p>
    <w:p>
      <w:pPr>
        <w:pStyle w:val="null3"/>
        <w:jc w:val="both"/>
      </w:pPr>
      <w:r>
        <w:rPr>
          <w:sz w:val="24"/>
        </w:rPr>
        <w:t>乙方必须保证提供的数据库产品符合行业标准规定的质量要求，保证按本合同约定事项提供产品服务，并根据甲方的要求配合做好验收工作并由甲方出具验收合格的书面证明。</w:t>
      </w:r>
    </w:p>
    <w:p>
      <w:pPr>
        <w:pStyle w:val="null3"/>
        <w:ind w:left="960"/>
        <w:jc w:val="both"/>
      </w:pPr>
      <w:r>
        <w:rPr>
          <w:sz w:val="24"/>
          <w:b/>
        </w:rPr>
        <w:t>九、</w:t>
      </w:r>
      <w:r>
        <w:rPr>
          <w:sz w:val="24"/>
          <w:b/>
        </w:rPr>
        <w:t>违约责任与赔偿损失</w:t>
      </w:r>
    </w:p>
    <w:p>
      <w:pPr>
        <w:pStyle w:val="null3"/>
        <w:ind w:left="420"/>
        <w:jc w:val="both"/>
      </w:pPr>
      <w:r>
        <w:rPr>
          <w:sz w:val="24"/>
        </w:rPr>
        <w:t>1.</w:t>
      </w:r>
      <w:r>
        <w:rPr>
          <w:sz w:val="24"/>
        </w:rPr>
        <w:t>双方应严格遵守履行本合同，一方若因违反合同而使对方造成损失，由违约方承担责任。</w:t>
      </w:r>
    </w:p>
    <w:p>
      <w:pPr>
        <w:pStyle w:val="null3"/>
        <w:ind w:left="420"/>
        <w:jc w:val="both"/>
      </w:pPr>
      <w:r>
        <w:rPr>
          <w:sz w:val="24"/>
        </w:rPr>
        <w:t>2.</w:t>
      </w:r>
      <w:r>
        <w:rPr>
          <w:sz w:val="24"/>
        </w:rPr>
        <w:t>乙方交付的货物、工程</w:t>
      </w:r>
      <w:r>
        <w:rPr>
          <w:sz w:val="24"/>
        </w:rPr>
        <w:t>/</w:t>
      </w:r>
      <w:r>
        <w:rPr>
          <w:sz w:val="24"/>
        </w:rPr>
        <w:t>提供的服务不符合采购文件、报价文件或本合同规定的，甲方有权拒收，并且乙方须向甲方支付本合同总价</w:t>
      </w:r>
      <w:r>
        <w:rPr>
          <w:sz w:val="24"/>
        </w:rPr>
        <w:t>5%</w:t>
      </w:r>
      <w:r>
        <w:rPr>
          <w:sz w:val="24"/>
        </w:rPr>
        <w:t>的违约金。</w:t>
      </w:r>
    </w:p>
    <w:p>
      <w:pPr>
        <w:pStyle w:val="null3"/>
        <w:ind w:left="420"/>
        <w:jc w:val="both"/>
      </w:pPr>
      <w:r>
        <w:rPr>
          <w:sz w:val="24"/>
        </w:rPr>
        <w:t>3.</w:t>
      </w:r>
      <w:r>
        <w:rPr>
          <w:sz w:val="24"/>
        </w:rPr>
        <w:t>乙方未能按本合同规定的交付时间交付货物的</w:t>
      </w:r>
      <w:r>
        <w:rPr>
          <w:sz w:val="24"/>
        </w:rPr>
        <w:t>/</w:t>
      </w:r>
      <w:r>
        <w:rPr>
          <w:sz w:val="24"/>
        </w:rPr>
        <w:t>提供服务，从逾期之日起每日按本合同总价万分之四的数额向甲方支付违约金；逾期半个月以上的，甲方有权终止合同，由此造成的甲方经济损失由乙方承担。</w:t>
      </w:r>
    </w:p>
    <w:p>
      <w:pPr>
        <w:pStyle w:val="null3"/>
        <w:ind w:left="420"/>
        <w:jc w:val="both"/>
      </w:pPr>
      <w:r>
        <w:rPr>
          <w:sz w:val="24"/>
        </w:rPr>
        <w:t>4.</w:t>
      </w:r>
      <w:r>
        <w:rPr>
          <w:sz w:val="24"/>
        </w:rPr>
        <w:t>甲方无正当理由拒收货物</w:t>
      </w:r>
      <w:r>
        <w:rPr>
          <w:sz w:val="24"/>
        </w:rPr>
        <w:t>/</w:t>
      </w:r>
      <w:r>
        <w:rPr>
          <w:sz w:val="24"/>
        </w:rPr>
        <w:t>接受服务，到期拒付货物</w:t>
      </w:r>
      <w:r>
        <w:rPr>
          <w:sz w:val="24"/>
        </w:rPr>
        <w:t>/</w:t>
      </w:r>
      <w:r>
        <w:rPr>
          <w:sz w:val="24"/>
        </w:rPr>
        <w:t>服务款项的，甲方向乙方偿付本合同总的</w:t>
      </w:r>
      <w:r>
        <w:rPr>
          <w:sz w:val="24"/>
        </w:rPr>
        <w:t>5%</w:t>
      </w:r>
      <w:r>
        <w:rPr>
          <w:sz w:val="24"/>
        </w:rPr>
        <w:t>的违约金。甲方逾期付款，则每日按本合同总价的万分之四向乙方偿付违约金。</w:t>
      </w:r>
    </w:p>
    <w:p>
      <w:pPr>
        <w:pStyle w:val="null3"/>
        <w:ind w:left="420"/>
        <w:jc w:val="both"/>
      </w:pPr>
      <w:r>
        <w:rPr>
          <w:sz w:val="24"/>
        </w:rPr>
        <w:t>5.</w:t>
      </w:r>
      <w:r>
        <w:rPr>
          <w:sz w:val="24"/>
        </w:rPr>
        <w:t>所有乙方应当承担的违约金、赔偿金等责任，甲方均有权在应支付给乙方的款项中直接扣除，不足以扣除的，甲方有权继续要求乙方支付或赔偿。</w:t>
      </w:r>
    </w:p>
    <w:p>
      <w:pPr>
        <w:pStyle w:val="null3"/>
        <w:ind w:left="420"/>
        <w:jc w:val="both"/>
      </w:pPr>
      <w:r>
        <w:rPr>
          <w:sz w:val="24"/>
        </w:rPr>
        <w:t>6.</w:t>
      </w:r>
      <w:r>
        <w:rPr>
          <w:sz w:val="24"/>
        </w:rPr>
        <w:t>其它违约责任按《中华人民共和国民法典》处理。</w:t>
      </w:r>
    </w:p>
    <w:p>
      <w:pPr>
        <w:pStyle w:val="null3"/>
        <w:ind w:left="960"/>
        <w:jc w:val="both"/>
      </w:pPr>
      <w:r>
        <w:rPr>
          <w:sz w:val="24"/>
          <w:b/>
        </w:rPr>
        <w:t>十、</w:t>
      </w:r>
      <w:r>
        <w:rPr>
          <w:sz w:val="24"/>
          <w:b/>
        </w:rPr>
        <w:t>争议的解决</w:t>
      </w:r>
    </w:p>
    <w:p>
      <w:pPr>
        <w:pStyle w:val="null3"/>
        <w:jc w:val="both"/>
      </w:pPr>
      <w:r>
        <w:rPr>
          <w:sz w:val="24"/>
        </w:rPr>
        <w:t>合同执行过程中发生的任何争议，如双方不能通过友好协商解决，甲、乙双方一致同意向甲方所在地人民法院提起诉讼。</w:t>
      </w:r>
    </w:p>
    <w:p>
      <w:pPr>
        <w:pStyle w:val="null3"/>
        <w:ind w:left="960"/>
        <w:jc w:val="both"/>
      </w:pPr>
      <w:r>
        <w:rPr>
          <w:sz w:val="24"/>
          <w:b/>
        </w:rPr>
        <w:t>十一、</w:t>
      </w:r>
      <w:r>
        <w:rPr>
          <w:sz w:val="24"/>
          <w:b/>
        </w:rPr>
        <w:t>不可抗力</w:t>
      </w:r>
    </w:p>
    <w:p>
      <w:pPr>
        <w:pStyle w:val="null3"/>
        <w:jc w:val="both"/>
      </w:pPr>
      <w:r>
        <w:rPr>
          <w:sz w:val="24"/>
        </w:rPr>
        <w:t>任何一方由于不可抗力原因不能履行合同时，应在不可抗力事件结束后</w:t>
      </w:r>
      <w:r>
        <w:rPr>
          <w:sz w:val="24"/>
        </w:rPr>
        <w:t xml:space="preserve">    </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ind w:left="960"/>
        <w:jc w:val="both"/>
      </w:pPr>
      <w:r>
        <w:rPr>
          <w:sz w:val="24"/>
          <w:b/>
        </w:rPr>
        <w:t>十二、</w:t>
      </w:r>
      <w:r>
        <w:rPr>
          <w:sz w:val="24"/>
          <w:b/>
        </w:rPr>
        <w:t>税费</w:t>
      </w:r>
    </w:p>
    <w:p>
      <w:pPr>
        <w:pStyle w:val="null3"/>
        <w:jc w:val="both"/>
      </w:pPr>
      <w:r>
        <w:rPr>
          <w:sz w:val="24"/>
        </w:rPr>
        <w:t>在中国境内、外发生的与本合同执行有关的一切税费均由乙方负担。</w:t>
      </w:r>
    </w:p>
    <w:p>
      <w:pPr>
        <w:pStyle w:val="null3"/>
        <w:ind w:left="960"/>
        <w:jc w:val="both"/>
      </w:pPr>
      <w:r>
        <w:rPr>
          <w:sz w:val="24"/>
          <w:b/>
        </w:rPr>
        <w:t>十三、</w:t>
      </w:r>
      <w:r>
        <w:rPr>
          <w:sz w:val="24"/>
          <w:b/>
        </w:rPr>
        <w:t>其它</w:t>
      </w:r>
    </w:p>
    <w:p>
      <w:pPr>
        <w:pStyle w:val="null3"/>
        <w:ind w:left="420"/>
        <w:jc w:val="both"/>
      </w:pPr>
      <w:r>
        <w:rPr>
          <w:sz w:val="24"/>
        </w:rPr>
        <w:t>1.</w:t>
      </w:r>
      <w:r>
        <w:rPr>
          <w:sz w:val="24"/>
        </w:rPr>
        <w:t>本合同所有附件为合同的有效组成部分，与本合同具有同等法律效力。</w:t>
      </w:r>
    </w:p>
    <w:p>
      <w:pPr>
        <w:pStyle w:val="null3"/>
        <w:ind w:left="420"/>
        <w:jc w:val="both"/>
      </w:pPr>
      <w:r>
        <w:rPr>
          <w:sz w:val="24"/>
        </w:rPr>
        <w:t>2.</w:t>
      </w:r>
      <w:r>
        <w:rPr>
          <w:sz w:val="24"/>
        </w:rPr>
        <w:t>一方在本合同履行过程中向另一方发出或者提供的所有通知、文件、文书、资料等，均可以本合同所列明的地址送达。如一方地址、电话、传真号码有变更，应在变更当日内书面通知对方，未履行通知义务的，另一方按原地址邮寄相关材料即视为已履行送达义务；当面交付上述材料的，在交付之时视为送达。</w:t>
      </w:r>
    </w:p>
    <w:p>
      <w:pPr>
        <w:pStyle w:val="null3"/>
        <w:ind w:left="420"/>
        <w:jc w:val="both"/>
      </w:pPr>
      <w:r>
        <w:rPr>
          <w:sz w:val="24"/>
        </w:rPr>
        <w:t>3.</w:t>
      </w:r>
      <w:r>
        <w:rPr>
          <w:sz w:val="24"/>
        </w:rPr>
        <w:t>除甲方事先书面同意外，乙方不得部分或全部转让其应履行的合同项下的权利和义务。</w:t>
      </w:r>
    </w:p>
    <w:p>
      <w:pPr>
        <w:pStyle w:val="null3"/>
        <w:ind w:left="960"/>
        <w:jc w:val="both"/>
      </w:pPr>
      <w:r>
        <w:rPr>
          <w:sz w:val="24"/>
          <w:b/>
        </w:rPr>
        <w:t>十四、</w:t>
      </w:r>
      <w:r>
        <w:rPr>
          <w:sz w:val="24"/>
          <w:b/>
        </w:rPr>
        <w:t>合同生效</w:t>
      </w:r>
    </w:p>
    <w:p>
      <w:pPr>
        <w:pStyle w:val="null3"/>
        <w:ind w:left="420"/>
        <w:jc w:val="both"/>
      </w:pPr>
      <w:r>
        <w:rPr>
          <w:sz w:val="24"/>
        </w:rPr>
        <w:t>1.</w:t>
      </w:r>
      <w:r>
        <w:rPr>
          <w:sz w:val="24"/>
        </w:rPr>
        <w:t>本合同自甲乙双方法定代表人或授权代表签字并盖双方公章或合同专用章后生效。</w:t>
      </w:r>
    </w:p>
    <w:p>
      <w:pPr>
        <w:pStyle w:val="null3"/>
        <w:ind w:left="420"/>
        <w:jc w:val="both"/>
      </w:pPr>
      <w:r>
        <w:rPr>
          <w:sz w:val="24"/>
        </w:rPr>
        <w:t>2.</w:t>
      </w:r>
      <w:r>
        <w:rPr>
          <w:sz w:val="24"/>
        </w:rPr>
        <w:t>合同一式</w:t>
      </w:r>
      <w:r>
        <w:rPr>
          <w:sz w:val="21"/>
        </w:rPr>
        <w:t xml:space="preserve">   </w:t>
      </w:r>
      <w:r>
        <w:rPr>
          <w:sz w:val="24"/>
        </w:rPr>
        <w:t>份，甲方持</w:t>
      </w:r>
      <w:r>
        <w:rPr>
          <w:sz w:val="21"/>
        </w:rPr>
        <w:t xml:space="preserve">   </w:t>
      </w:r>
      <w:r>
        <w:rPr>
          <w:sz w:val="24"/>
        </w:rPr>
        <w:t>份，乙方持</w:t>
      </w:r>
      <w:r>
        <w:rPr>
          <w:sz w:val="21"/>
        </w:rPr>
        <w:t xml:space="preserve">    </w:t>
      </w:r>
      <w:r>
        <w:rPr>
          <w:sz w:val="24"/>
        </w:rPr>
        <w:t>份，均具有同等法律效力。</w:t>
      </w:r>
    </w:p>
    <w:p>
      <w:pPr>
        <w:pStyle w:val="null3"/>
        <w:jc w:val="both"/>
      </w:pPr>
      <w:r>
        <w:rPr>
          <w:sz w:val="24"/>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甲方（盖章）：华南农业大学</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乙方（盖章）：</w:t>
            </w:r>
            <w:r>
              <w:rPr>
                <w:sz w:val="21"/>
                <w:b/>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法人代表或授权代表（签字）：</w:t>
            </w:r>
            <w:r>
              <w:rPr>
                <w:sz w:val="24"/>
              </w:rPr>
              <w:t xml:space="preserve">  </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法人代表或授权代表（签字）：</w:t>
            </w:r>
            <w:r>
              <w:rPr>
                <w:sz w:val="24"/>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签定地点：</w:t>
            </w:r>
            <w:r>
              <w:rPr>
                <w:sz w:val="24"/>
              </w:rPr>
              <w:t xml:space="preserve">   </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签定日期：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签定日期：</w:t>
            </w:r>
            <w:r>
              <w:rPr>
                <w:sz w:val="24"/>
              </w:rPr>
              <w:t xml:space="preserve">   </w:t>
            </w:r>
          </w:p>
        </w:tc>
      </w:tr>
    </w:tbl>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440001-2025-24672</w:t>
      </w:r>
    </w:p>
    <w:p>
      <w:pPr>
        <w:pStyle w:val="null3"/>
        <w:jc w:val="center"/>
        <w:outlineLvl w:val="3"/>
      </w:pPr>
      <w:r>
        <w:rPr>
          <w:sz w:val="24"/>
          <w:b/>
        </w:rPr>
        <w:t>采购项目编号：</w:t>
      </w:r>
      <w:r>
        <w:rPr>
          <w:sz w:val="24"/>
          <w:b/>
        </w:rPr>
        <w:t>GDJY250619004FG024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广东金扬教育采购中心有限公司</w:t>
      </w:r>
    </w:p>
    <w:p>
      <w:pPr>
        <w:pStyle w:val="null3"/>
        <w:ind w:firstLine="480"/>
      </w:pPr>
      <w:r>
        <w:rPr/>
        <w:t xml:space="preserve"> 你方组织的</w:t>
      </w:r>
      <w:r>
        <w:rPr>
          <w:u w:val="single"/>
        </w:rPr>
        <w:t>“</w:t>
      </w:r>
      <w:r>
        <w:rPr>
          <w:u w:val="single"/>
        </w:rPr>
        <w:t>华南农业大学2025年WOS等数据库采购服务项目</w:t>
      </w:r>
      <w:r>
        <w:rPr>
          <w:u w:val="single"/>
        </w:rPr>
        <w:t>”</w:t>
      </w:r>
      <w:r>
        <w:rPr/>
        <w:t>项目的招标[采购项目编号为：</w:t>
      </w:r>
      <w:r>
        <w:rPr>
          <w:u w:val="single"/>
        </w:rPr>
        <w:t>GDJY250619004FG024</w:t>
      </w:r>
      <w:r>
        <w:rPr/>
        <w:t>]，我方愿参与投标。</w:t>
      </w:r>
    </w:p>
    <w:p>
      <w:pPr>
        <w:pStyle w:val="null3"/>
        <w:ind w:firstLine="480"/>
      </w:pPr>
      <w:r>
        <w:rPr/>
        <w:t>我方确认收到贵方提供的</w:t>
      </w:r>
      <w:r>
        <w:rPr>
          <w:u w:val="single"/>
        </w:rPr>
        <w:t>“</w:t>
      </w:r>
      <w:r>
        <w:rPr>
          <w:u w:val="single"/>
        </w:rPr>
        <w:t>华南农业大学2025年WOS等数据库采购服务项目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广东金扬教育采购中心有限公司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华南农业大学2025年WOS等数据库采购服务项目</w:t>
      </w:r>
      <w:r>
        <w:rPr/>
        <w:t>”项目采购[采购项目编号为</w:t>
      </w:r>
      <w:r>
        <w:rPr/>
        <w:t>GDJY250619004FG024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华南农业大学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广东金扬教育采购中心有限公司</w:t>
      </w:r>
    </w:p>
    <w:p>
      <w:pPr>
        <w:pStyle w:val="null3"/>
        <w:ind w:firstLine="480"/>
      </w:pPr>
      <w:r>
        <w:rPr/>
        <w:t xml:space="preserve"> 如果我方在贵采购代理机构组织的</w:t>
      </w:r>
      <w:r>
        <w:rPr/>
        <w:t>华南农业大学2025年WOS等数据库采购服务项目</w:t>
      </w:r>
      <w:r>
        <w:rPr/>
        <w:t>招标中获中标（采购项目编号：</w:t>
      </w:r>
      <w:r>
        <w:rPr/>
        <w:t>GDJY250619004FG024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广东金扬教育采购中心有限公司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广东金扬教育采购中心有限公司</w:t>
      </w:r>
    </w:p>
    <w:p>
      <w:pPr>
        <w:pStyle w:val="null3"/>
        <w:ind w:firstLine="480"/>
      </w:pPr>
      <w:r>
        <w:rPr/>
        <w:t>我单位已登记并准备参与“</w:t>
      </w:r>
      <w:r>
        <w:rPr/>
        <w:t>华南农业大学2025年WOS等数据库采购服务项目</w:t>
      </w:r>
      <w:r>
        <w:rPr/>
        <w:t>”项目（采购项目编号：</w:t>
      </w:r>
      <w:r>
        <w:rPr/>
        <w:t>GDJY250619004FG024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